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5B6" w:rsidRPr="000C05B6" w:rsidRDefault="000C05B6" w:rsidP="000C05B6">
      <w:pPr>
        <w:pStyle w:val="CompanyName"/>
        <w:spacing w:before="120" w:after="120"/>
        <w:jc w:val="center"/>
        <w:rPr>
          <w:b/>
          <w:i/>
          <w:color w:val="FF0000"/>
          <w:sz w:val="24"/>
          <w:lang w:val="en-US"/>
        </w:rPr>
      </w:pPr>
    </w:p>
    <w:p w:rsidR="000C05B6" w:rsidRPr="00E16936" w:rsidRDefault="00622305" w:rsidP="000C05B6">
      <w:pPr>
        <w:pStyle w:val="Title1"/>
        <w:rPr>
          <w:sz w:val="26"/>
          <w:szCs w:val="26"/>
          <w:lang w:val="en-US"/>
        </w:rPr>
      </w:pPr>
      <w:r w:rsidRPr="00622305">
        <w:rPr>
          <w:sz w:val="26"/>
          <w:szCs w:val="26"/>
          <w:lang w:val="en-US"/>
        </w:rPr>
        <w:t>Membrane cascade type of "сontinuous membrane column"</w:t>
      </w:r>
    </w:p>
    <w:p w:rsidR="000C05B6" w:rsidRPr="00565ED0" w:rsidRDefault="00622305" w:rsidP="000C05B6">
      <w:pPr>
        <w:pStyle w:val="AuthorsNames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Artem</w:t>
      </w:r>
      <w:proofErr w:type="spellEnd"/>
      <w:r>
        <w:rPr>
          <w:sz w:val="22"/>
          <w:szCs w:val="22"/>
          <w:lang w:val="en-US"/>
        </w:rPr>
        <w:t xml:space="preserve"> A. </w:t>
      </w:r>
      <w:proofErr w:type="spellStart"/>
      <w:r>
        <w:rPr>
          <w:sz w:val="22"/>
          <w:szCs w:val="22"/>
          <w:lang w:val="en-US"/>
        </w:rPr>
        <w:t>Atlaskin</w:t>
      </w:r>
      <w:proofErr w:type="spellEnd"/>
      <w:r>
        <w:rPr>
          <w:sz w:val="22"/>
          <w:szCs w:val="22"/>
          <w:lang w:val="en-US"/>
        </w:rPr>
        <w:t xml:space="preserve">, Maxim M. </w:t>
      </w:r>
      <w:proofErr w:type="spellStart"/>
      <w:r>
        <w:rPr>
          <w:sz w:val="22"/>
          <w:szCs w:val="22"/>
          <w:lang w:val="en-US"/>
        </w:rPr>
        <w:t>Trubyanov</w:t>
      </w:r>
      <w:proofErr w:type="spellEnd"/>
      <w:r>
        <w:rPr>
          <w:sz w:val="22"/>
          <w:szCs w:val="22"/>
          <w:lang w:val="en-US"/>
        </w:rPr>
        <w:t xml:space="preserve">, Pavel N. </w:t>
      </w:r>
      <w:proofErr w:type="spellStart"/>
      <w:r>
        <w:rPr>
          <w:sz w:val="22"/>
          <w:szCs w:val="22"/>
          <w:lang w:val="en-US"/>
        </w:rPr>
        <w:t>Drozdov</w:t>
      </w:r>
      <w:proofErr w:type="spellEnd"/>
      <w:r w:rsidR="00A5076B">
        <w:rPr>
          <w:sz w:val="22"/>
          <w:szCs w:val="22"/>
          <w:lang w:val="en-US"/>
        </w:rPr>
        <w:t>,</w:t>
      </w:r>
      <w:r w:rsidR="00A5076B" w:rsidRPr="00A5076B">
        <w:rPr>
          <w:sz w:val="22"/>
          <w:szCs w:val="22"/>
          <w:lang w:val="en-US"/>
        </w:rPr>
        <w:t xml:space="preserve"> </w:t>
      </w:r>
      <w:r w:rsidR="00A5076B">
        <w:rPr>
          <w:sz w:val="22"/>
          <w:szCs w:val="22"/>
          <w:lang w:val="en-US"/>
        </w:rPr>
        <w:t xml:space="preserve">Ilya V. </w:t>
      </w:r>
      <w:proofErr w:type="spellStart"/>
      <w:r w:rsidR="00A5076B">
        <w:rPr>
          <w:sz w:val="22"/>
          <w:szCs w:val="22"/>
          <w:lang w:val="en-US"/>
        </w:rPr>
        <w:t>Vorotyntsev</w:t>
      </w:r>
      <w:proofErr w:type="spellEnd"/>
      <w:r w:rsidR="00A5076B">
        <w:rPr>
          <w:sz w:val="22"/>
          <w:szCs w:val="22"/>
          <w:lang w:val="en-US"/>
        </w:rPr>
        <w:t xml:space="preserve">, Vladimir M. </w:t>
      </w:r>
      <w:proofErr w:type="spellStart"/>
      <w:r w:rsidR="00A5076B">
        <w:rPr>
          <w:sz w:val="22"/>
          <w:szCs w:val="22"/>
          <w:lang w:val="en-US"/>
        </w:rPr>
        <w:t>Vorotyntsev</w:t>
      </w:r>
      <w:proofErr w:type="spellEnd"/>
    </w:p>
    <w:p w:rsidR="0075238A" w:rsidRDefault="0075238A" w:rsidP="000C05B6">
      <w:pPr>
        <w:pStyle w:val="CompanyName"/>
        <w:rPr>
          <w:sz w:val="20"/>
          <w:szCs w:val="20"/>
          <w:lang w:val="en-US"/>
        </w:rPr>
      </w:pPr>
      <w:r w:rsidRPr="0075238A">
        <w:rPr>
          <w:sz w:val="20"/>
          <w:szCs w:val="20"/>
          <w:lang w:val="en-US"/>
        </w:rPr>
        <w:t xml:space="preserve">Nizhny Novgorod State Technical University </w:t>
      </w:r>
      <w:proofErr w:type="spellStart"/>
      <w:r w:rsidRPr="0075238A">
        <w:rPr>
          <w:sz w:val="20"/>
          <w:szCs w:val="20"/>
          <w:lang w:val="en-US"/>
        </w:rPr>
        <w:t>n.a</w:t>
      </w:r>
      <w:proofErr w:type="spellEnd"/>
      <w:r w:rsidRPr="0075238A">
        <w:rPr>
          <w:sz w:val="20"/>
          <w:szCs w:val="20"/>
          <w:lang w:val="en-US"/>
        </w:rPr>
        <w:t>. R.E. Alekseev, Nizhny Novgorod, Russia</w:t>
      </w:r>
      <w:r w:rsidR="000C05B6">
        <w:rPr>
          <w:sz w:val="20"/>
          <w:szCs w:val="20"/>
          <w:lang w:val="en-US"/>
        </w:rPr>
        <w:t xml:space="preserve">, </w:t>
      </w:r>
    </w:p>
    <w:p w:rsidR="000C05B6" w:rsidRDefault="000C05B6" w:rsidP="000C05B6">
      <w:pPr>
        <w:pStyle w:val="CompanyName"/>
        <w:rPr>
          <w:sz w:val="20"/>
          <w:szCs w:val="20"/>
          <w:lang w:val="en-US"/>
        </w:rPr>
      </w:pPr>
      <w:r>
        <w:rPr>
          <w:i/>
          <w:iCs w:val="0"/>
          <w:sz w:val="20"/>
          <w:szCs w:val="20"/>
          <w:lang w:val="en-GB"/>
        </w:rPr>
        <w:t>E-mail</w:t>
      </w:r>
      <w:r>
        <w:rPr>
          <w:i/>
          <w:iCs w:val="0"/>
          <w:sz w:val="20"/>
          <w:szCs w:val="20"/>
          <w:lang w:val="en-GB" w:eastAsia="ko-KR"/>
        </w:rPr>
        <w:t>:</w:t>
      </w:r>
      <w:r>
        <w:rPr>
          <w:i/>
          <w:iCs w:val="0"/>
          <w:sz w:val="20"/>
          <w:szCs w:val="20"/>
          <w:lang w:val="en-GB"/>
        </w:rPr>
        <w:t xml:space="preserve"> </w:t>
      </w:r>
      <w:r w:rsidR="00622305">
        <w:rPr>
          <w:i/>
          <w:iCs w:val="0"/>
          <w:sz w:val="20"/>
          <w:szCs w:val="20"/>
          <w:lang w:val="en-GB"/>
        </w:rPr>
        <w:t>atlaskin@gmail.com</w:t>
      </w:r>
    </w:p>
    <w:p w:rsidR="000C05B6" w:rsidRDefault="000C05B6" w:rsidP="00E07A85">
      <w:pPr>
        <w:pStyle w:val="TableTitle"/>
        <w:spacing w:before="0"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Introduction</w:t>
      </w:r>
    </w:p>
    <w:p w:rsidR="00317EC8" w:rsidRDefault="00622305" w:rsidP="00E07A85">
      <w:pPr>
        <w:pStyle w:val="TableTitle"/>
        <w:spacing w:before="0" w:after="0"/>
        <w:jc w:val="both"/>
        <w:rPr>
          <w:rFonts w:cs="Times New Roman"/>
          <w:b w:val="0"/>
          <w:bCs w:val="0"/>
          <w:sz w:val="24"/>
          <w:lang w:val="en-US"/>
        </w:rPr>
      </w:pPr>
      <w:r w:rsidRPr="00622305">
        <w:rPr>
          <w:rFonts w:cs="Times New Roman"/>
          <w:b w:val="0"/>
          <w:bCs w:val="0"/>
          <w:sz w:val="24"/>
          <w:lang w:val="en-US"/>
        </w:rPr>
        <w:t>Strengthening of environmental regulations, improvement of product specification level,</w:t>
      </w:r>
      <w:r>
        <w:rPr>
          <w:rFonts w:cs="Times New Roman"/>
          <w:b w:val="0"/>
          <w:bCs w:val="0"/>
          <w:sz w:val="24"/>
          <w:lang w:val="en-US"/>
        </w:rPr>
        <w:t xml:space="preserve"> </w:t>
      </w:r>
      <w:r w:rsidRPr="00622305">
        <w:rPr>
          <w:rFonts w:cs="Times New Roman"/>
          <w:b w:val="0"/>
          <w:bCs w:val="0"/>
          <w:sz w:val="24"/>
          <w:lang w:val="en-US"/>
        </w:rPr>
        <w:t>and the need to reduce production costs in the current economic situation set the task for</w:t>
      </w:r>
      <w:r>
        <w:rPr>
          <w:rFonts w:cs="Times New Roman"/>
          <w:b w:val="0"/>
          <w:bCs w:val="0"/>
          <w:sz w:val="24"/>
          <w:lang w:val="en-US"/>
        </w:rPr>
        <w:t xml:space="preserve"> </w:t>
      </w:r>
      <w:r w:rsidRPr="00622305">
        <w:rPr>
          <w:rFonts w:cs="Times New Roman"/>
          <w:b w:val="0"/>
          <w:bCs w:val="0"/>
          <w:sz w:val="24"/>
          <w:lang w:val="en-US"/>
        </w:rPr>
        <w:t>chemical engineers to intensify the implementation of energy-efficient separation methods</w:t>
      </w:r>
      <w:r>
        <w:rPr>
          <w:rFonts w:cs="Times New Roman"/>
          <w:b w:val="0"/>
          <w:bCs w:val="0"/>
          <w:sz w:val="24"/>
          <w:lang w:val="en-US"/>
        </w:rPr>
        <w:t xml:space="preserve"> </w:t>
      </w:r>
      <w:r w:rsidRPr="00622305">
        <w:rPr>
          <w:rFonts w:cs="Times New Roman"/>
          <w:b w:val="0"/>
          <w:bCs w:val="0"/>
          <w:sz w:val="24"/>
          <w:lang w:val="en-US"/>
        </w:rPr>
        <w:t xml:space="preserve">and search for novel ways of optimizing the existing technological solutions. </w:t>
      </w:r>
      <w:r w:rsidR="00EF56CB" w:rsidRPr="00317EC8">
        <w:rPr>
          <w:rFonts w:cs="Times New Roman"/>
          <w:b w:val="0"/>
          <w:bCs w:val="0"/>
          <w:sz w:val="24"/>
          <w:lang w:val="en-US"/>
        </w:rPr>
        <w:t>Membrane gas separation has recently drawn a great attention in the field of high-purity gases production in conjunction with developing continuous non-waste technologies capable to provide small-scale point-of-use supply of high-purity gases.</w:t>
      </w:r>
      <w:r w:rsidR="00EF56CB">
        <w:rPr>
          <w:rFonts w:cs="Times New Roman"/>
          <w:b w:val="0"/>
          <w:bCs w:val="0"/>
          <w:sz w:val="24"/>
          <w:lang w:val="en-US"/>
        </w:rPr>
        <w:t xml:space="preserve"> It has been shown that new single-stage schemes, such as </w:t>
      </w:r>
      <w:r w:rsidR="008A30B4">
        <w:rPr>
          <w:rFonts w:cs="Times New Roman"/>
          <w:b w:val="0"/>
          <w:bCs w:val="0"/>
          <w:sz w:val="24"/>
          <w:lang w:val="en-US"/>
        </w:rPr>
        <w:t>unsteady-state membrane gas separation[1] and absorbing pervaporation[2]</w:t>
      </w:r>
      <w:r w:rsidR="00EF56CB">
        <w:rPr>
          <w:rFonts w:cs="Times New Roman"/>
          <w:b w:val="0"/>
          <w:bCs w:val="0"/>
          <w:sz w:val="24"/>
          <w:lang w:val="en-US"/>
        </w:rPr>
        <w:t xml:space="preserve"> have a great potential in gas </w:t>
      </w:r>
      <w:r w:rsidR="008A30B4">
        <w:rPr>
          <w:rFonts w:cs="Times New Roman"/>
          <w:b w:val="0"/>
          <w:bCs w:val="0"/>
          <w:sz w:val="24"/>
          <w:lang w:val="en-US"/>
        </w:rPr>
        <w:t xml:space="preserve">separation applications, but </w:t>
      </w:r>
      <w:r w:rsidR="008A30B4" w:rsidRPr="00317EC8">
        <w:rPr>
          <w:rFonts w:cs="Times New Roman"/>
          <w:b w:val="0"/>
          <w:bCs w:val="0"/>
          <w:sz w:val="24"/>
          <w:lang w:val="en-US"/>
        </w:rPr>
        <w:t>the separation efficiency of the single stage membrane processes is limited by the selectivity of the membrane at a given pressure ratio, hence the high purity product can be obtained only by multi-stage systems.</w:t>
      </w:r>
      <w:r w:rsidR="008A30B4">
        <w:rPr>
          <w:rFonts w:cs="Times New Roman"/>
          <w:b w:val="0"/>
          <w:bCs w:val="0"/>
          <w:sz w:val="24"/>
          <w:lang w:val="en-US"/>
        </w:rPr>
        <w:t xml:space="preserve"> </w:t>
      </w:r>
      <w:r w:rsidR="00EF56CB" w:rsidRPr="00317EC8">
        <w:rPr>
          <w:rFonts w:cs="Times New Roman"/>
          <w:b w:val="0"/>
          <w:bCs w:val="0"/>
          <w:sz w:val="24"/>
          <w:lang w:val="en-US"/>
        </w:rPr>
        <w:t>However, this leads to a material-intensive configurations and high capital costs, which makes the membrane process noncompetitive.</w:t>
      </w:r>
      <w:r w:rsidR="008A30B4">
        <w:rPr>
          <w:rFonts w:cs="Times New Roman"/>
          <w:b w:val="0"/>
          <w:bCs w:val="0"/>
          <w:sz w:val="24"/>
          <w:lang w:val="en-US"/>
        </w:rPr>
        <w:t xml:space="preserve"> </w:t>
      </w:r>
      <w:r w:rsidR="00317EC8" w:rsidRPr="00317EC8">
        <w:rPr>
          <w:rFonts w:cs="Times New Roman"/>
          <w:b w:val="0"/>
          <w:bCs w:val="0"/>
          <w:sz w:val="24"/>
          <w:lang w:val="en-US"/>
        </w:rPr>
        <w:t xml:space="preserve">Another approach to increase the separation efficiency is the use </w:t>
      </w:r>
      <w:r w:rsidR="00877D3B">
        <w:rPr>
          <w:rFonts w:cs="Times New Roman"/>
          <w:b w:val="0"/>
          <w:bCs w:val="0"/>
          <w:sz w:val="24"/>
          <w:lang w:val="en-US"/>
        </w:rPr>
        <w:t xml:space="preserve">of a continuous membrane column[3,4] </w:t>
      </w:r>
      <w:r w:rsidR="00317EC8" w:rsidRPr="00317EC8">
        <w:rPr>
          <w:rFonts w:cs="Times New Roman"/>
          <w:b w:val="0"/>
          <w:bCs w:val="0"/>
          <w:sz w:val="24"/>
          <w:lang w:val="en-US"/>
        </w:rPr>
        <w:t>which has similar configuration to a distillation column.</w:t>
      </w:r>
      <w:r w:rsidR="009877A8">
        <w:rPr>
          <w:rFonts w:cs="Times New Roman"/>
          <w:b w:val="0"/>
          <w:bCs w:val="0"/>
          <w:sz w:val="24"/>
          <w:lang w:val="en-US"/>
        </w:rPr>
        <w:t xml:space="preserve"> </w:t>
      </w:r>
      <w:r w:rsidR="00C31D3F" w:rsidRPr="00C31D3F">
        <w:rPr>
          <w:rFonts w:cs="Times New Roman"/>
          <w:b w:val="0"/>
          <w:bCs w:val="0"/>
          <w:sz w:val="24"/>
          <w:lang w:val="en-US"/>
        </w:rPr>
        <w:t>The purpose of the current work is to present novel concepts for realization of purification process by gas separation in multi-stage membrane cascades which are promising and competitive prototypes of countercurrent distillation columns.</w:t>
      </w:r>
    </w:p>
    <w:p w:rsidR="000560F9" w:rsidRDefault="000560F9" w:rsidP="00E07A85">
      <w:pPr>
        <w:pStyle w:val="TableTitle"/>
        <w:spacing w:before="0" w:after="0"/>
        <w:rPr>
          <w:sz w:val="24"/>
          <w:lang w:val="en-US"/>
        </w:rPr>
      </w:pPr>
      <w:r>
        <w:rPr>
          <w:sz w:val="24"/>
          <w:lang w:val="en-US"/>
        </w:rPr>
        <w:t>Experiments</w:t>
      </w:r>
    </w:p>
    <w:p w:rsidR="00E716BB" w:rsidRDefault="00E716BB" w:rsidP="00E07A85">
      <w:pPr>
        <w:pStyle w:val="TableTitle"/>
        <w:spacing w:before="0" w:after="0"/>
        <w:ind w:firstLine="284"/>
        <w:jc w:val="both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Gas</w:t>
      </w:r>
      <w:r w:rsidR="00745D1E">
        <w:rPr>
          <w:b w:val="0"/>
          <w:sz w:val="24"/>
          <w:lang w:val="en-US"/>
        </w:rPr>
        <w:t>es</w:t>
      </w:r>
      <w:r>
        <w:rPr>
          <w:b w:val="0"/>
          <w:sz w:val="24"/>
          <w:lang w:val="en-US"/>
        </w:rPr>
        <w:t xml:space="preserve"> high purification experiments were carried out using the set-up presented at Fig. 1. The gas flow direction is indicated by arrows. This membrane cascade consists of three membrane elements: single module for </w:t>
      </w:r>
      <w:r w:rsidR="007F300F">
        <w:rPr>
          <w:b w:val="0"/>
          <w:sz w:val="24"/>
          <w:lang w:val="en-US"/>
        </w:rPr>
        <w:t>extraction</w:t>
      </w:r>
      <w:r>
        <w:rPr>
          <w:b w:val="0"/>
          <w:sz w:val="24"/>
          <w:lang w:val="en-US"/>
        </w:rPr>
        <w:t xml:space="preserve"> section and two elements in enrichment section.  </w:t>
      </w:r>
    </w:p>
    <w:p w:rsidR="002574C0" w:rsidRDefault="002574C0" w:rsidP="00E07A85">
      <w:pPr>
        <w:pStyle w:val="TableTitle"/>
        <w:spacing w:before="0" w:after="0"/>
        <w:jc w:val="both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Gas mixture</w:t>
      </w:r>
      <w:r w:rsidR="00091A52">
        <w:rPr>
          <w:b w:val="0"/>
          <w:sz w:val="24"/>
          <w:lang w:val="en-US"/>
        </w:rPr>
        <w:t xml:space="preserve"> composition</w:t>
      </w:r>
      <w:r>
        <w:rPr>
          <w:b w:val="0"/>
          <w:sz w:val="24"/>
          <w:lang w:val="en-US"/>
        </w:rPr>
        <w:t xml:space="preserve"> determination was carried out by gas chromatography, using helium carrier gas, a thermal conductivity detector and a </w:t>
      </w:r>
      <w:proofErr w:type="spellStart"/>
      <w:r>
        <w:rPr>
          <w:b w:val="0"/>
          <w:sz w:val="24"/>
          <w:lang w:val="en-US"/>
        </w:rPr>
        <w:t>Porapak</w:t>
      </w:r>
      <w:proofErr w:type="spellEnd"/>
      <w:r>
        <w:rPr>
          <w:b w:val="0"/>
          <w:sz w:val="24"/>
          <w:lang w:val="en-US"/>
        </w:rPr>
        <w:t xml:space="preserve"> Q packed column.</w:t>
      </w:r>
    </w:p>
    <w:p w:rsidR="002574C0" w:rsidRDefault="002574C0" w:rsidP="00E07A85">
      <w:pPr>
        <w:pStyle w:val="TableTitle"/>
        <w:spacing w:before="0" w:after="0"/>
        <w:jc w:val="both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In the experiments an argon-propane model mixture was used with concentration 0.02 – 1% of propane. </w:t>
      </w:r>
    </w:p>
    <w:p w:rsidR="000560F9" w:rsidRPr="002574C0" w:rsidRDefault="000560F9" w:rsidP="002574C0">
      <w:pPr>
        <w:pStyle w:val="TableTitle"/>
        <w:rPr>
          <w:b w:val="0"/>
          <w:sz w:val="24"/>
        </w:rPr>
      </w:pPr>
      <w:r>
        <w:rPr>
          <w:b w:val="0"/>
          <w:caps/>
          <w:noProof/>
          <w:sz w:val="28"/>
          <w:szCs w:val="28"/>
        </w:rPr>
        <w:drawing>
          <wp:inline distT="0" distB="0" distL="0" distR="0" wp14:anchorId="059D7CDB" wp14:editId="05CB7F6E">
            <wp:extent cx="4327012" cy="3055620"/>
            <wp:effectExtent l="0" t="0" r="0" b="0"/>
            <wp:docPr id="2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203" cy="305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560F9" w:rsidRPr="002574C0" w:rsidRDefault="000560F9" w:rsidP="002574C0">
      <w:pPr>
        <w:pStyle w:val="TableTitle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 xml:space="preserve">Figure 1. Principal scheme of membrane cascade type of </w:t>
      </w:r>
      <w:r w:rsidRPr="000560F9">
        <w:rPr>
          <w:b w:val="0"/>
          <w:sz w:val="24"/>
          <w:szCs w:val="24"/>
          <w:lang w:val="en-US"/>
        </w:rPr>
        <w:t>«</w:t>
      </w:r>
      <w:r>
        <w:rPr>
          <w:b w:val="0"/>
          <w:sz w:val="24"/>
          <w:szCs w:val="24"/>
          <w:lang w:val="en-US"/>
        </w:rPr>
        <w:t>continuous membrane column</w:t>
      </w:r>
      <w:r w:rsidRPr="000560F9">
        <w:rPr>
          <w:b w:val="0"/>
          <w:sz w:val="24"/>
          <w:szCs w:val="24"/>
          <w:lang w:val="en-US"/>
        </w:rPr>
        <w:t>»</w:t>
      </w:r>
      <w:r>
        <w:rPr>
          <w:b w:val="0"/>
          <w:sz w:val="24"/>
          <w:szCs w:val="24"/>
          <w:lang w:val="en-US"/>
        </w:rPr>
        <w:t xml:space="preserve"> </w:t>
      </w:r>
    </w:p>
    <w:p w:rsidR="002574C0" w:rsidRDefault="000C05B6" w:rsidP="00E07A85">
      <w:pPr>
        <w:pStyle w:val="TableTitle"/>
        <w:spacing w:before="0" w:after="0"/>
        <w:rPr>
          <w:sz w:val="24"/>
          <w:szCs w:val="24"/>
          <w:lang w:val="en-US"/>
        </w:rPr>
      </w:pPr>
      <w:r w:rsidRPr="001927DB">
        <w:rPr>
          <w:sz w:val="24"/>
          <w:szCs w:val="24"/>
          <w:lang w:val="en-US"/>
        </w:rPr>
        <w:lastRenderedPageBreak/>
        <w:t>Results and Discussion</w:t>
      </w:r>
    </w:p>
    <w:p w:rsidR="004203C3" w:rsidRDefault="004203C3" w:rsidP="00E07A85">
      <w:pPr>
        <w:pStyle w:val="TableTitle"/>
        <w:spacing w:before="0" w:after="0"/>
        <w:jc w:val="both"/>
        <w:rPr>
          <w:b w:val="0"/>
          <w:sz w:val="24"/>
          <w:szCs w:val="24"/>
          <w:lang w:val="en-US"/>
        </w:rPr>
      </w:pPr>
      <w:r w:rsidRPr="004203C3">
        <w:rPr>
          <w:b w:val="0"/>
          <w:sz w:val="24"/>
          <w:szCs w:val="24"/>
          <w:lang w:val="en-US"/>
        </w:rPr>
        <w:t>A cascade of the membrane col</w:t>
      </w:r>
      <w:r>
        <w:rPr>
          <w:b w:val="0"/>
          <w:sz w:val="24"/>
          <w:szCs w:val="24"/>
          <w:lang w:val="en-US"/>
        </w:rPr>
        <w:t>umn (MC) type is shown in Fig. 2</w:t>
      </w:r>
      <w:r w:rsidRPr="004203C3">
        <w:rPr>
          <w:b w:val="0"/>
          <w:sz w:val="24"/>
          <w:szCs w:val="24"/>
          <w:lang w:val="en-US"/>
        </w:rPr>
        <w:t xml:space="preserve">a, and a cascade of the three-module membrane column (TMC) type is shown in Fig. </w:t>
      </w:r>
      <w:r>
        <w:rPr>
          <w:b w:val="0"/>
          <w:sz w:val="24"/>
          <w:szCs w:val="24"/>
          <w:lang w:val="en-US"/>
        </w:rPr>
        <w:t>2</w:t>
      </w:r>
      <w:r w:rsidRPr="004203C3">
        <w:rPr>
          <w:b w:val="0"/>
          <w:sz w:val="24"/>
          <w:szCs w:val="24"/>
          <w:lang w:val="en-US"/>
        </w:rPr>
        <w:t xml:space="preserve">b. Fig. </w:t>
      </w:r>
      <w:r>
        <w:rPr>
          <w:b w:val="0"/>
          <w:sz w:val="24"/>
          <w:szCs w:val="24"/>
          <w:lang w:val="en-US"/>
        </w:rPr>
        <w:t>2</w:t>
      </w:r>
      <w:r w:rsidRPr="004203C3">
        <w:rPr>
          <w:b w:val="0"/>
          <w:sz w:val="24"/>
          <w:szCs w:val="24"/>
          <w:lang w:val="en-US"/>
        </w:rPr>
        <w:t>c presents the scheme of a two-membrane column (</w:t>
      </w:r>
      <w:proofErr w:type="spellStart"/>
      <w:r w:rsidRPr="004203C3">
        <w:rPr>
          <w:b w:val="0"/>
          <w:sz w:val="24"/>
          <w:szCs w:val="24"/>
          <w:lang w:val="en-US"/>
        </w:rPr>
        <w:t>TwMC</w:t>
      </w:r>
      <w:proofErr w:type="spellEnd"/>
      <w:r w:rsidRPr="004203C3">
        <w:rPr>
          <w:b w:val="0"/>
          <w:sz w:val="24"/>
          <w:szCs w:val="24"/>
          <w:lang w:val="en-US"/>
        </w:rPr>
        <w:t>) in which the membranes in the elements in both section have opposite properties, in contrast to the preceding cascades: the contaminant passes through the membrane better than the basic component in the extraction section and worse in the enrichment section.</w:t>
      </w:r>
    </w:p>
    <w:p w:rsidR="004203C3" w:rsidRDefault="004203C3" w:rsidP="00E07A85">
      <w:pPr>
        <w:pStyle w:val="TableTitle"/>
        <w:spacing w:before="0" w:after="0"/>
        <w:ind w:firstLine="0"/>
        <w:rPr>
          <w:b w:val="0"/>
          <w:sz w:val="24"/>
          <w:szCs w:val="24"/>
          <w:lang w:val="en-US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4511040" cy="2927254"/>
            <wp:effectExtent l="0" t="0" r="3810" b="698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410" cy="293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3C3" w:rsidRDefault="004203C3" w:rsidP="00E07A85">
      <w:pPr>
        <w:pStyle w:val="TableTitle"/>
        <w:spacing w:before="0" w:after="0"/>
        <w:ind w:firstLine="0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>Figure2</w:t>
      </w:r>
      <w:r w:rsidRPr="004203C3">
        <w:rPr>
          <w:b w:val="0"/>
          <w:sz w:val="24"/>
          <w:szCs w:val="24"/>
          <w:lang w:val="en-US"/>
        </w:rPr>
        <w:t xml:space="preserve">. Diagram of MC (a), TMC (b), and </w:t>
      </w:r>
      <w:proofErr w:type="spellStart"/>
      <w:r w:rsidRPr="004203C3">
        <w:rPr>
          <w:b w:val="0"/>
          <w:sz w:val="24"/>
          <w:szCs w:val="24"/>
          <w:lang w:val="en-US"/>
        </w:rPr>
        <w:t>TwMC</w:t>
      </w:r>
      <w:proofErr w:type="spellEnd"/>
      <w:r w:rsidRPr="004203C3">
        <w:rPr>
          <w:b w:val="0"/>
          <w:sz w:val="24"/>
          <w:szCs w:val="24"/>
          <w:lang w:val="en-US"/>
        </w:rPr>
        <w:t xml:space="preserve"> (c) cascades. K, compressor; P1, HPC; P2, LPC.</w:t>
      </w:r>
    </w:p>
    <w:p w:rsidR="00B161DF" w:rsidRPr="004203C3" w:rsidRDefault="00B161DF" w:rsidP="00E07A85">
      <w:pPr>
        <w:pStyle w:val="TableTitle"/>
        <w:spacing w:before="0" w:after="0"/>
        <w:ind w:firstLine="0"/>
        <w:rPr>
          <w:b w:val="0"/>
          <w:sz w:val="24"/>
          <w:szCs w:val="24"/>
          <w:lang w:val="en-US"/>
        </w:rPr>
      </w:pPr>
    </w:p>
    <w:p w:rsidR="00FB1A79" w:rsidRDefault="002574C0" w:rsidP="00E07A85">
      <w:pPr>
        <w:pStyle w:val="1"/>
        <w:numPr>
          <w:ilvl w:val="0"/>
          <w:numId w:val="0"/>
        </w:numPr>
        <w:tabs>
          <w:tab w:val="left" w:pos="993"/>
        </w:tabs>
        <w:ind w:firstLine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cascade separation efficiency </w:t>
      </w:r>
      <w:r w:rsidR="001D38C5">
        <w:rPr>
          <w:sz w:val="24"/>
          <w:szCs w:val="24"/>
          <w:lang w:val="en-US"/>
        </w:rPr>
        <w:t>as a function of st</w:t>
      </w:r>
      <w:r w:rsidR="004203C3">
        <w:rPr>
          <w:sz w:val="24"/>
          <w:szCs w:val="24"/>
          <w:lang w:val="en-US"/>
        </w:rPr>
        <w:t xml:space="preserve">age-cut </w:t>
      </w:r>
      <w:r w:rsidR="00E07A85">
        <w:rPr>
          <w:sz w:val="24"/>
          <w:szCs w:val="24"/>
          <w:lang w:val="en-US"/>
        </w:rPr>
        <w:t>(</w:t>
      </w:r>
      <w:r w:rsidR="00E07A85">
        <w:rPr>
          <w:rFonts w:ascii="Cambria Math" w:hAnsi="Cambria Math"/>
          <w:sz w:val="24"/>
          <w:szCs w:val="24"/>
          <w:lang w:val="en-US"/>
        </w:rPr>
        <w:t>𝜃</w:t>
      </w:r>
      <w:r w:rsidR="00E07A85">
        <w:rPr>
          <w:sz w:val="24"/>
          <w:szCs w:val="24"/>
          <w:lang w:val="en-US"/>
        </w:rPr>
        <w:t xml:space="preserve">) </w:t>
      </w:r>
      <w:r w:rsidR="004203C3">
        <w:rPr>
          <w:sz w:val="24"/>
          <w:szCs w:val="24"/>
          <w:lang w:val="en-US"/>
        </w:rPr>
        <w:t>is presented in Fig. 3</w:t>
      </w:r>
      <w:r w:rsidR="001D38C5">
        <w:rPr>
          <w:sz w:val="24"/>
          <w:szCs w:val="24"/>
          <w:lang w:val="en-US"/>
        </w:rPr>
        <w:t>, where are F</w:t>
      </w:r>
      <w:r w:rsidR="001D38C5">
        <w:rPr>
          <w:sz w:val="24"/>
          <w:szCs w:val="24"/>
          <w:vertAlign w:val="subscript"/>
          <w:lang w:val="en-US"/>
        </w:rPr>
        <w:t>1</w:t>
      </w:r>
      <w:r w:rsidR="001D38C5">
        <w:rPr>
          <w:sz w:val="24"/>
          <w:szCs w:val="24"/>
          <w:lang w:val="en-US"/>
        </w:rPr>
        <w:t xml:space="preserve"> is </w:t>
      </w:r>
      <w:r w:rsidR="00FA47DE">
        <w:rPr>
          <w:sz w:val="24"/>
          <w:szCs w:val="24"/>
          <w:lang w:val="en-US"/>
        </w:rPr>
        <w:t>extraction</w:t>
      </w:r>
      <w:r w:rsidR="001D38C5">
        <w:rPr>
          <w:sz w:val="24"/>
          <w:szCs w:val="24"/>
          <w:lang w:val="en-US"/>
        </w:rPr>
        <w:t xml:space="preserve"> section separation factor, F</w:t>
      </w:r>
      <w:r w:rsidR="001D38C5">
        <w:rPr>
          <w:sz w:val="24"/>
          <w:szCs w:val="24"/>
          <w:vertAlign w:val="subscript"/>
          <w:lang w:val="en-US"/>
        </w:rPr>
        <w:t>2</w:t>
      </w:r>
      <w:r w:rsidR="001D38C5">
        <w:rPr>
          <w:sz w:val="24"/>
          <w:szCs w:val="24"/>
          <w:lang w:val="en-US"/>
        </w:rPr>
        <w:t xml:space="preserve"> </w:t>
      </w:r>
      <w:r w:rsidR="007F300F">
        <w:rPr>
          <w:sz w:val="24"/>
          <w:szCs w:val="24"/>
          <w:lang w:val="en-US"/>
        </w:rPr>
        <w:t>enrichment</w:t>
      </w:r>
      <w:r w:rsidR="001D38C5">
        <w:rPr>
          <w:sz w:val="24"/>
          <w:szCs w:val="24"/>
          <w:lang w:val="en-US"/>
        </w:rPr>
        <w:t xml:space="preserve"> section separation factor and F is the set-up separation factor. Separation factor of </w:t>
      </w:r>
      <w:r w:rsidR="00714E73">
        <w:rPr>
          <w:sz w:val="24"/>
          <w:szCs w:val="24"/>
          <w:lang w:val="en-US"/>
        </w:rPr>
        <w:t>extraction</w:t>
      </w:r>
      <w:r w:rsidR="001D38C5">
        <w:rPr>
          <w:sz w:val="24"/>
          <w:szCs w:val="24"/>
          <w:lang w:val="en-US"/>
        </w:rPr>
        <w:t xml:space="preserve"> and enrichment sections is determined by the inlet and outlet gas mixture concentration ratio. Cascade separation factor is the ratio of impurity concentration in impurity fraction and product fraction.</w:t>
      </w:r>
    </w:p>
    <w:p w:rsidR="007F300F" w:rsidRDefault="00714E73" w:rsidP="00E07A85">
      <w:pPr>
        <w:pStyle w:val="1"/>
        <w:numPr>
          <w:ilvl w:val="0"/>
          <w:numId w:val="0"/>
        </w:numPr>
        <w:tabs>
          <w:tab w:val="left" w:pos="993"/>
        </w:tabs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2952750" cy="331907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789" cy="332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00F" w:rsidRDefault="007F300F" w:rsidP="00E07A85">
      <w:pPr>
        <w:pStyle w:val="1"/>
        <w:numPr>
          <w:ilvl w:val="0"/>
          <w:numId w:val="0"/>
        </w:numPr>
        <w:tabs>
          <w:tab w:val="left" w:pos="993"/>
        </w:tabs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Figure </w:t>
      </w:r>
      <w:r w:rsidR="004203C3">
        <w:rPr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 xml:space="preserve">. </w:t>
      </w:r>
      <w:r w:rsidRPr="007F300F">
        <w:rPr>
          <w:sz w:val="24"/>
          <w:szCs w:val="24"/>
          <w:lang w:val="en-US"/>
        </w:rPr>
        <w:t>The dependence of the separation factor of the extraction section (F1), enrichment section (F2), and the setup a</w:t>
      </w:r>
      <w:r w:rsidR="00E07A85">
        <w:rPr>
          <w:sz w:val="24"/>
          <w:szCs w:val="24"/>
          <w:lang w:val="en-US"/>
        </w:rPr>
        <w:t xml:space="preserve">s a whole (F) on the parameter </w:t>
      </w:r>
      <w:r w:rsidR="00E07A85">
        <w:rPr>
          <w:rFonts w:ascii="Cambria Math" w:hAnsi="Cambria Math"/>
          <w:sz w:val="24"/>
          <w:szCs w:val="24"/>
          <w:lang w:val="en-US"/>
        </w:rPr>
        <w:t>𝜃</w:t>
      </w:r>
      <w:r w:rsidRPr="007F300F">
        <w:rPr>
          <w:sz w:val="24"/>
          <w:szCs w:val="24"/>
          <w:lang w:val="en-US"/>
        </w:rPr>
        <w:t xml:space="preserve"> = l1/l0: (a) experimental data for the MC mode; (b) TMC mode: (1, 2) F2; (3, 4) F1; (5, 6) F.</w:t>
      </w:r>
    </w:p>
    <w:p w:rsidR="00E07A85" w:rsidRDefault="007C2F34" w:rsidP="00714E73">
      <w:pPr>
        <w:pStyle w:val="1"/>
        <w:numPr>
          <w:ilvl w:val="0"/>
          <w:numId w:val="0"/>
        </w:numPr>
        <w:tabs>
          <w:tab w:val="left" w:pos="0"/>
        </w:tabs>
        <w:ind w:firstLine="284"/>
        <w:jc w:val="both"/>
        <w:rPr>
          <w:sz w:val="24"/>
          <w:szCs w:val="24"/>
          <w:lang w:val="en-US"/>
        </w:rPr>
      </w:pPr>
      <w:r w:rsidRPr="007C2F34">
        <w:rPr>
          <w:sz w:val="24"/>
          <w:szCs w:val="24"/>
          <w:lang w:val="en-US"/>
        </w:rPr>
        <w:lastRenderedPageBreak/>
        <w:t xml:space="preserve">It </w:t>
      </w:r>
      <w:r>
        <w:rPr>
          <w:sz w:val="24"/>
          <w:szCs w:val="24"/>
          <w:lang w:val="en-US"/>
        </w:rPr>
        <w:t>is shown</w:t>
      </w:r>
      <w:r w:rsidRPr="007C2F34">
        <w:rPr>
          <w:sz w:val="24"/>
          <w:szCs w:val="24"/>
          <w:lang w:val="en-US"/>
        </w:rPr>
        <w:t xml:space="preserve"> that with an increase </w:t>
      </w:r>
      <w:r>
        <w:rPr>
          <w:sz w:val="24"/>
          <w:szCs w:val="24"/>
          <w:lang w:val="en-US"/>
        </w:rPr>
        <w:t>of stage-cut value</w:t>
      </w:r>
      <w:r w:rsidRPr="007C2F34">
        <w:rPr>
          <w:sz w:val="24"/>
          <w:szCs w:val="24"/>
          <w:lang w:val="en-US"/>
        </w:rPr>
        <w:t xml:space="preserve"> (or with a decrease in the rate of product and concentrate withdrawal), the separation</w:t>
      </w:r>
      <w:r>
        <w:rPr>
          <w:sz w:val="24"/>
          <w:szCs w:val="24"/>
          <w:lang w:val="en-US"/>
        </w:rPr>
        <w:t xml:space="preserve"> efficiency</w:t>
      </w:r>
      <w:r w:rsidRPr="007C2F34">
        <w:rPr>
          <w:sz w:val="24"/>
          <w:szCs w:val="24"/>
          <w:lang w:val="en-US"/>
        </w:rPr>
        <w:t xml:space="preserve"> of the extraction section increases, and its value for the enrichment section varies insignificantly. The separation factor of the </w:t>
      </w:r>
      <w:r>
        <w:rPr>
          <w:sz w:val="24"/>
          <w:szCs w:val="24"/>
          <w:lang w:val="en-US"/>
        </w:rPr>
        <w:t xml:space="preserve">set-up </w:t>
      </w:r>
      <w:r w:rsidRPr="007C2F34">
        <w:rPr>
          <w:sz w:val="24"/>
          <w:szCs w:val="24"/>
          <w:lang w:val="en-US"/>
        </w:rPr>
        <w:t>is also increasing. The degree of separation of the enrichment section of the TM</w:t>
      </w:r>
      <w:r>
        <w:rPr>
          <w:sz w:val="24"/>
          <w:szCs w:val="24"/>
          <w:lang w:val="en-US"/>
        </w:rPr>
        <w:t>C</w:t>
      </w:r>
      <w:r w:rsidRPr="007C2F34">
        <w:rPr>
          <w:sz w:val="24"/>
          <w:szCs w:val="24"/>
          <w:lang w:val="en-US"/>
        </w:rPr>
        <w:t>-type cascade is higher than that of the M</w:t>
      </w:r>
      <w:r>
        <w:rPr>
          <w:sz w:val="24"/>
          <w:szCs w:val="24"/>
          <w:lang w:val="en-US"/>
        </w:rPr>
        <w:t>C</w:t>
      </w:r>
      <w:r w:rsidRPr="007C2F34">
        <w:rPr>
          <w:sz w:val="24"/>
          <w:szCs w:val="24"/>
          <w:lang w:val="en-US"/>
        </w:rPr>
        <w:t>-type cascade. The degree of separation of the extraction section of the cascades of both types is practically the same. A small difference is explained</w:t>
      </w:r>
      <w:r w:rsidR="00E07A85">
        <w:rPr>
          <w:sz w:val="24"/>
          <w:szCs w:val="24"/>
          <w:lang w:val="en-US"/>
        </w:rPr>
        <w:t xml:space="preserve"> by a decrease in the withdrawal degree </w:t>
      </w:r>
      <w:r w:rsidRPr="007C2F34">
        <w:rPr>
          <w:sz w:val="24"/>
          <w:szCs w:val="24"/>
          <w:lang w:val="en-US"/>
        </w:rPr>
        <w:t>of the concentrate and, correspondingly, an increase in the</w:t>
      </w:r>
      <w:r w:rsidR="00E07A85">
        <w:rPr>
          <w:sz w:val="24"/>
          <w:szCs w:val="24"/>
          <w:lang w:val="en-US"/>
        </w:rPr>
        <w:t xml:space="preserve"> withdrawal</w:t>
      </w:r>
      <w:r w:rsidRPr="007C2F34">
        <w:rPr>
          <w:sz w:val="24"/>
          <w:szCs w:val="24"/>
          <w:lang w:val="en-US"/>
        </w:rPr>
        <w:t xml:space="preserve"> rate of the purified product in a cascade of the TM</w:t>
      </w:r>
      <w:r w:rsidR="00E07A85">
        <w:rPr>
          <w:sz w:val="24"/>
          <w:szCs w:val="24"/>
          <w:lang w:val="en-US"/>
        </w:rPr>
        <w:t>C</w:t>
      </w:r>
      <w:r w:rsidRPr="007C2F34">
        <w:rPr>
          <w:sz w:val="24"/>
          <w:szCs w:val="24"/>
          <w:lang w:val="en-US"/>
        </w:rPr>
        <w:t xml:space="preserve"> type in comparison with MC for the same </w:t>
      </w:r>
      <w:r w:rsidR="00E07A85">
        <w:rPr>
          <w:sz w:val="24"/>
          <w:szCs w:val="24"/>
          <w:lang w:val="en-US"/>
        </w:rPr>
        <w:t xml:space="preserve">stage-cut value </w:t>
      </w:r>
      <w:r w:rsidRPr="007C2F34">
        <w:rPr>
          <w:sz w:val="24"/>
          <w:szCs w:val="24"/>
          <w:lang w:val="en-US"/>
        </w:rPr>
        <w:t xml:space="preserve">parameter. </w:t>
      </w:r>
    </w:p>
    <w:p w:rsidR="00B161DF" w:rsidRPr="00565ED0" w:rsidRDefault="007C2F34" w:rsidP="00E07A85">
      <w:pPr>
        <w:pStyle w:val="1"/>
        <w:numPr>
          <w:ilvl w:val="0"/>
          <w:numId w:val="0"/>
        </w:numPr>
        <w:tabs>
          <w:tab w:val="left" w:pos="993"/>
        </w:tabs>
        <w:ind w:firstLine="284"/>
        <w:jc w:val="both"/>
        <w:rPr>
          <w:sz w:val="24"/>
          <w:szCs w:val="24"/>
          <w:lang w:val="en-US"/>
        </w:rPr>
      </w:pPr>
      <w:r w:rsidRPr="007C2F34">
        <w:rPr>
          <w:sz w:val="24"/>
          <w:szCs w:val="24"/>
          <w:lang w:val="en-US"/>
        </w:rPr>
        <w:t xml:space="preserve">The experimental results are in good agreement with the calculated data. The maximum separation factor </w:t>
      </w:r>
      <w:r w:rsidR="00E07A85">
        <w:rPr>
          <w:sz w:val="24"/>
          <w:szCs w:val="24"/>
          <w:lang w:val="en-US"/>
        </w:rPr>
        <w:t>is</w:t>
      </w:r>
      <w:r w:rsidRPr="007C2F34">
        <w:rPr>
          <w:sz w:val="24"/>
          <w:szCs w:val="24"/>
          <w:lang w:val="en-US"/>
        </w:rPr>
        <w:t xml:space="preserve"> 1.8 ∙ 10</w:t>
      </w:r>
      <w:r w:rsidRPr="00E07A85">
        <w:rPr>
          <w:sz w:val="24"/>
          <w:szCs w:val="24"/>
          <w:vertAlign w:val="superscript"/>
          <w:lang w:val="en-US"/>
        </w:rPr>
        <w:t>4</w:t>
      </w:r>
      <w:r w:rsidRPr="007C2F34">
        <w:rPr>
          <w:sz w:val="24"/>
          <w:szCs w:val="24"/>
          <w:lang w:val="en-US"/>
        </w:rPr>
        <w:t xml:space="preserve"> in the M</w:t>
      </w:r>
      <w:r w:rsidR="00E07A85">
        <w:rPr>
          <w:sz w:val="24"/>
          <w:szCs w:val="24"/>
          <w:lang w:val="en-US"/>
        </w:rPr>
        <w:t>C</w:t>
      </w:r>
      <w:r w:rsidRPr="007C2F34">
        <w:rPr>
          <w:sz w:val="24"/>
          <w:szCs w:val="24"/>
          <w:lang w:val="en-US"/>
        </w:rPr>
        <w:t xml:space="preserve"> cascade and 8.5 ∙ 10</w:t>
      </w:r>
      <w:r w:rsidRPr="00E07A85">
        <w:rPr>
          <w:sz w:val="24"/>
          <w:szCs w:val="24"/>
          <w:vertAlign w:val="superscript"/>
          <w:lang w:val="en-US"/>
        </w:rPr>
        <w:t>4</w:t>
      </w:r>
      <w:r w:rsidRPr="007C2F34">
        <w:rPr>
          <w:sz w:val="24"/>
          <w:szCs w:val="24"/>
          <w:lang w:val="en-US"/>
        </w:rPr>
        <w:t xml:space="preserve"> in the TM</w:t>
      </w:r>
      <w:r w:rsidR="00E07A85">
        <w:rPr>
          <w:sz w:val="24"/>
          <w:szCs w:val="24"/>
          <w:lang w:val="en-US"/>
        </w:rPr>
        <w:t>C</w:t>
      </w:r>
      <w:r w:rsidRPr="007C2F34">
        <w:rPr>
          <w:sz w:val="24"/>
          <w:szCs w:val="24"/>
          <w:lang w:val="en-US"/>
        </w:rPr>
        <w:t xml:space="preserve"> cascade is obtained. The degree of product </w:t>
      </w:r>
      <w:r w:rsidR="00E07A85">
        <w:rPr>
          <w:sz w:val="24"/>
          <w:szCs w:val="24"/>
          <w:lang w:val="en-US"/>
        </w:rPr>
        <w:t>withdrawal</w:t>
      </w:r>
      <w:r w:rsidRPr="007C2F34">
        <w:rPr>
          <w:sz w:val="24"/>
          <w:szCs w:val="24"/>
          <w:lang w:val="en-US"/>
        </w:rPr>
        <w:t xml:space="preserve"> is 87% and 98%, respectively. In the same case, without the enrichment section, the degree of product </w:t>
      </w:r>
      <w:r w:rsidR="00E07A85">
        <w:rPr>
          <w:sz w:val="24"/>
          <w:szCs w:val="24"/>
          <w:lang w:val="en-US"/>
        </w:rPr>
        <w:t>withdrawal</w:t>
      </w:r>
      <w:r w:rsidRPr="007C2F34">
        <w:rPr>
          <w:sz w:val="24"/>
          <w:szCs w:val="24"/>
          <w:lang w:val="en-US"/>
        </w:rPr>
        <w:t xml:space="preserve"> does not exceed 2%.</w:t>
      </w:r>
      <w:r w:rsidR="00565ED0">
        <w:rPr>
          <w:sz w:val="24"/>
          <w:szCs w:val="24"/>
          <w:lang w:val="en-US"/>
        </w:rPr>
        <w:t xml:space="preserve"> </w:t>
      </w:r>
      <w:r w:rsidR="00565ED0" w:rsidRPr="00565ED0">
        <w:rPr>
          <w:sz w:val="24"/>
          <w:szCs w:val="24"/>
          <w:lang w:val="en-US"/>
        </w:rPr>
        <w:t>Thus, it was shown that this design of the membrane cascade apparatus has great potential for use in</w:t>
      </w:r>
      <w:r w:rsidR="00565ED0">
        <w:rPr>
          <w:sz w:val="24"/>
          <w:szCs w:val="24"/>
          <w:lang w:val="en-US"/>
        </w:rPr>
        <w:t xml:space="preserve"> gases</w:t>
      </w:r>
      <w:r w:rsidR="00565ED0" w:rsidRPr="00565ED0">
        <w:rPr>
          <w:sz w:val="24"/>
          <w:szCs w:val="24"/>
          <w:lang w:val="en-US"/>
        </w:rPr>
        <w:t xml:space="preserve"> </w:t>
      </w:r>
      <w:r w:rsidR="00565ED0">
        <w:rPr>
          <w:sz w:val="24"/>
          <w:szCs w:val="24"/>
          <w:lang w:val="en-US"/>
        </w:rPr>
        <w:t>high</w:t>
      </w:r>
      <w:r w:rsidR="00565ED0" w:rsidRPr="00565ED0">
        <w:rPr>
          <w:sz w:val="24"/>
          <w:szCs w:val="24"/>
          <w:lang w:val="en-US"/>
        </w:rPr>
        <w:t xml:space="preserve"> purification </w:t>
      </w:r>
      <w:r w:rsidR="00565ED0">
        <w:rPr>
          <w:sz w:val="24"/>
          <w:szCs w:val="24"/>
          <w:lang w:val="en-US"/>
        </w:rPr>
        <w:t>applications</w:t>
      </w:r>
      <w:r w:rsidR="00565ED0" w:rsidRPr="00565ED0">
        <w:rPr>
          <w:sz w:val="24"/>
          <w:szCs w:val="24"/>
          <w:lang w:val="en-US"/>
        </w:rPr>
        <w:t xml:space="preserve"> and </w:t>
      </w:r>
      <w:r w:rsidR="00565ED0">
        <w:rPr>
          <w:sz w:val="24"/>
          <w:szCs w:val="24"/>
          <w:lang w:val="en-US"/>
        </w:rPr>
        <w:t xml:space="preserve">it </w:t>
      </w:r>
      <w:r w:rsidR="00565ED0" w:rsidRPr="00565ED0">
        <w:rPr>
          <w:sz w:val="24"/>
          <w:szCs w:val="24"/>
          <w:lang w:val="en-US"/>
        </w:rPr>
        <w:t>does not require a large number of membrane elements and compressors to achieve a high degree of purity of the pro</w:t>
      </w:r>
      <w:r w:rsidR="00565ED0">
        <w:rPr>
          <w:sz w:val="24"/>
          <w:szCs w:val="24"/>
          <w:lang w:val="en-US"/>
        </w:rPr>
        <w:t xml:space="preserve">duct </w:t>
      </w:r>
      <w:r w:rsidR="00565ED0" w:rsidRPr="00565ED0">
        <w:rPr>
          <w:sz w:val="24"/>
          <w:szCs w:val="24"/>
          <w:lang w:val="en-US"/>
        </w:rPr>
        <w:t xml:space="preserve">in contrast to the cascade </w:t>
      </w:r>
      <w:r w:rsidR="00565ED0">
        <w:rPr>
          <w:sz w:val="24"/>
          <w:szCs w:val="24"/>
          <w:lang w:val="en-US"/>
        </w:rPr>
        <w:t>schemes</w:t>
      </w:r>
      <w:r w:rsidR="00565ED0" w:rsidRPr="00565ED0">
        <w:rPr>
          <w:sz w:val="24"/>
          <w:szCs w:val="24"/>
          <w:lang w:val="en-US"/>
        </w:rPr>
        <w:t xml:space="preserve"> proposed earlier</w:t>
      </w:r>
      <w:r w:rsidR="00565ED0">
        <w:rPr>
          <w:sz w:val="24"/>
          <w:szCs w:val="24"/>
          <w:lang w:val="en-US"/>
        </w:rPr>
        <w:t>.</w:t>
      </w:r>
      <w:bookmarkStart w:id="0" w:name="_GoBack"/>
      <w:bookmarkEnd w:id="0"/>
    </w:p>
    <w:p w:rsidR="00E07A85" w:rsidRDefault="00E07A85" w:rsidP="00E07A85">
      <w:pPr>
        <w:pStyle w:val="1"/>
        <w:numPr>
          <w:ilvl w:val="0"/>
          <w:numId w:val="0"/>
        </w:numPr>
        <w:tabs>
          <w:tab w:val="left" w:pos="993"/>
        </w:tabs>
        <w:ind w:firstLine="284"/>
        <w:jc w:val="both"/>
        <w:rPr>
          <w:sz w:val="24"/>
          <w:szCs w:val="24"/>
          <w:lang w:val="en-US"/>
        </w:rPr>
      </w:pPr>
    </w:p>
    <w:p w:rsidR="00E07A85" w:rsidRDefault="00E07A85" w:rsidP="00E07A85">
      <w:pPr>
        <w:pStyle w:val="1"/>
        <w:numPr>
          <w:ilvl w:val="0"/>
          <w:numId w:val="0"/>
        </w:numPr>
        <w:tabs>
          <w:tab w:val="left" w:pos="993"/>
        </w:tabs>
        <w:ind w:firstLine="284"/>
        <w:jc w:val="center"/>
        <w:rPr>
          <w:b/>
          <w:sz w:val="24"/>
          <w:szCs w:val="24"/>
          <w:lang w:val="en-US"/>
        </w:rPr>
      </w:pPr>
      <w:r w:rsidRPr="00E07A85">
        <w:rPr>
          <w:b/>
          <w:sz w:val="24"/>
          <w:szCs w:val="24"/>
          <w:lang w:val="en-US"/>
        </w:rPr>
        <w:t>References</w:t>
      </w:r>
    </w:p>
    <w:p w:rsidR="00E07A85" w:rsidRPr="007A2A52" w:rsidRDefault="007A2A52" w:rsidP="002F499C">
      <w:pPr>
        <w:pStyle w:val="1"/>
        <w:numPr>
          <w:ilvl w:val="0"/>
          <w:numId w:val="4"/>
        </w:numPr>
        <w:tabs>
          <w:tab w:val="left" w:pos="284"/>
        </w:tabs>
        <w:ind w:left="709" w:hanging="43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M.M. </w:t>
      </w:r>
      <w:proofErr w:type="spellStart"/>
      <w:r>
        <w:rPr>
          <w:sz w:val="24"/>
          <w:szCs w:val="24"/>
          <w:lang w:val="en-US"/>
        </w:rPr>
        <w:t>Trubyanov</w:t>
      </w:r>
      <w:proofErr w:type="spellEnd"/>
      <w:r>
        <w:rPr>
          <w:sz w:val="24"/>
          <w:szCs w:val="24"/>
          <w:lang w:val="en-US"/>
        </w:rPr>
        <w:t xml:space="preserve"> et al. / </w:t>
      </w:r>
      <w:r w:rsidRPr="007A2A52">
        <w:rPr>
          <w:sz w:val="24"/>
          <w:szCs w:val="24"/>
          <w:lang w:val="en-US"/>
        </w:rPr>
        <w:t>Journal of Membrane Science 530 (2017) 53</w:t>
      </w:r>
      <w:r w:rsidR="00557A49">
        <w:rPr>
          <w:sz w:val="24"/>
          <w:szCs w:val="24"/>
          <w:lang w:val="en-US"/>
        </w:rPr>
        <w:t xml:space="preserve"> </w:t>
      </w:r>
      <w:r w:rsidRPr="007A2A52">
        <w:rPr>
          <w:sz w:val="24"/>
          <w:szCs w:val="24"/>
          <w:lang w:val="en-US"/>
        </w:rPr>
        <w:t>–</w:t>
      </w:r>
      <w:r w:rsidR="00557A49">
        <w:rPr>
          <w:sz w:val="24"/>
          <w:szCs w:val="24"/>
          <w:lang w:val="en-US"/>
        </w:rPr>
        <w:t xml:space="preserve"> </w:t>
      </w:r>
      <w:r w:rsidRPr="007A2A52">
        <w:rPr>
          <w:sz w:val="24"/>
          <w:szCs w:val="24"/>
          <w:lang w:val="en-US"/>
        </w:rPr>
        <w:t>64</w:t>
      </w:r>
    </w:p>
    <w:p w:rsidR="007A2A52" w:rsidRDefault="007A2A52" w:rsidP="002F499C">
      <w:pPr>
        <w:pStyle w:val="a7"/>
        <w:numPr>
          <w:ilvl w:val="0"/>
          <w:numId w:val="4"/>
        </w:numPr>
        <w:ind w:left="709" w:hanging="436"/>
        <w:jc w:val="both"/>
        <w:rPr>
          <w:rFonts w:ascii="Times New Roman" w:hAnsi="Times New Roman" w:cs="Times New Roman"/>
          <w:sz w:val="24"/>
          <w:szCs w:val="24"/>
        </w:rPr>
      </w:pPr>
      <w:r w:rsidRPr="007A2A52">
        <w:rPr>
          <w:rFonts w:ascii="Times New Roman" w:hAnsi="Times New Roman" w:cs="Times New Roman"/>
          <w:sz w:val="24"/>
          <w:szCs w:val="24"/>
        </w:rPr>
        <w:t xml:space="preserve">I.V. </w:t>
      </w:r>
      <w:proofErr w:type="spellStart"/>
      <w:r w:rsidRPr="007A2A52">
        <w:rPr>
          <w:rFonts w:ascii="Times New Roman" w:hAnsi="Times New Roman" w:cs="Times New Roman"/>
          <w:sz w:val="24"/>
          <w:szCs w:val="24"/>
        </w:rPr>
        <w:t>Vorotyntsev</w:t>
      </w:r>
      <w:proofErr w:type="spellEnd"/>
      <w:r w:rsidRPr="007A2A52">
        <w:rPr>
          <w:rFonts w:ascii="Times New Roman" w:hAnsi="Times New Roman" w:cs="Times New Roman"/>
          <w:sz w:val="24"/>
          <w:szCs w:val="24"/>
        </w:rPr>
        <w:t xml:space="preserve"> et al. / Desalination and Water Treatment (2017) 1</w:t>
      </w:r>
      <w:r w:rsidR="00557A49">
        <w:rPr>
          <w:rFonts w:ascii="Times New Roman" w:hAnsi="Times New Roman" w:cs="Times New Roman"/>
          <w:sz w:val="24"/>
          <w:szCs w:val="24"/>
        </w:rPr>
        <w:t xml:space="preserve"> </w:t>
      </w:r>
      <w:r w:rsidRPr="007A2A52">
        <w:rPr>
          <w:rFonts w:ascii="Times New Roman" w:hAnsi="Times New Roman" w:cs="Times New Roman"/>
          <w:sz w:val="24"/>
          <w:szCs w:val="24"/>
        </w:rPr>
        <w:t>–</w:t>
      </w:r>
      <w:r w:rsidR="00557A49">
        <w:rPr>
          <w:rFonts w:ascii="Times New Roman" w:hAnsi="Times New Roman" w:cs="Times New Roman"/>
          <w:sz w:val="24"/>
          <w:szCs w:val="24"/>
        </w:rPr>
        <w:t xml:space="preserve"> </w:t>
      </w:r>
      <w:r w:rsidRPr="007A2A52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7A2A52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7A2A52">
        <w:rPr>
          <w:rFonts w:ascii="Times New Roman" w:hAnsi="Times New Roman" w:cs="Times New Roman"/>
          <w:sz w:val="24"/>
          <w:szCs w:val="24"/>
        </w:rPr>
        <w:t>: 10.5004/dwt.2017.20400</w:t>
      </w:r>
    </w:p>
    <w:p w:rsidR="00557A49" w:rsidRDefault="00557A49" w:rsidP="002F499C">
      <w:pPr>
        <w:pStyle w:val="a7"/>
        <w:numPr>
          <w:ilvl w:val="0"/>
          <w:numId w:val="4"/>
        </w:numPr>
        <w:ind w:left="709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V.M. </w:t>
      </w:r>
      <w:proofErr w:type="spellStart"/>
      <w:r>
        <w:rPr>
          <w:rFonts w:ascii="Times New Roman" w:hAnsi="Times New Roman" w:cs="Times New Roman"/>
          <w:sz w:val="24"/>
          <w:szCs w:val="24"/>
        </w:rPr>
        <w:t>Vorotyntsev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 / Desalination 147 (2002) 433 – 438 </w:t>
      </w:r>
    </w:p>
    <w:p w:rsidR="00877D3B" w:rsidRDefault="00877D3B" w:rsidP="002F499C">
      <w:pPr>
        <w:pStyle w:val="a7"/>
        <w:numPr>
          <w:ilvl w:val="0"/>
          <w:numId w:val="4"/>
        </w:numPr>
        <w:ind w:left="709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V.M. </w:t>
      </w:r>
      <w:proofErr w:type="spellStart"/>
      <w:r>
        <w:rPr>
          <w:rFonts w:ascii="Times New Roman" w:hAnsi="Times New Roman" w:cs="Times New Roman"/>
          <w:sz w:val="24"/>
          <w:szCs w:val="24"/>
        </w:rPr>
        <w:t>Vorotyntsev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 / Separation and Purification Technology 22 (2001) 367 – 376</w:t>
      </w:r>
    </w:p>
    <w:p w:rsidR="00877D3B" w:rsidRDefault="00877D3B" w:rsidP="00877D3B">
      <w:pPr>
        <w:pStyle w:val="a7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557A49" w:rsidRPr="00565ED0" w:rsidRDefault="00877D3B" w:rsidP="00877D3B">
      <w:pPr>
        <w:jc w:val="center"/>
        <w:rPr>
          <w:b/>
          <w:lang w:val="en-US"/>
        </w:rPr>
      </w:pPr>
      <w:r w:rsidRPr="00565ED0">
        <w:rPr>
          <w:b/>
          <w:lang w:val="en-US"/>
        </w:rPr>
        <w:t>Acknowledgements</w:t>
      </w:r>
    </w:p>
    <w:p w:rsidR="00557A49" w:rsidRPr="00557A49" w:rsidRDefault="00557A49" w:rsidP="00557A49">
      <w:pPr>
        <w:pStyle w:val="a7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A49">
        <w:rPr>
          <w:rFonts w:ascii="Times New Roman" w:hAnsi="Times New Roman" w:cs="Times New Roman"/>
          <w:sz w:val="24"/>
          <w:szCs w:val="24"/>
        </w:rPr>
        <w:t xml:space="preserve">This work was supported by the grant of the President of the Russian Federation (MD-5414.2016.8), and the Russian Foundation of Basic Research (16-38-60174 </w:t>
      </w:r>
      <w:proofErr w:type="spellStart"/>
      <w:r w:rsidRPr="00557A49">
        <w:rPr>
          <w:rFonts w:ascii="Times New Roman" w:hAnsi="Times New Roman" w:cs="Times New Roman"/>
          <w:sz w:val="24"/>
          <w:szCs w:val="24"/>
        </w:rPr>
        <w:t>mol_a_dk</w:t>
      </w:r>
      <w:proofErr w:type="spellEnd"/>
      <w:r w:rsidRPr="00557A49">
        <w:rPr>
          <w:rFonts w:ascii="Times New Roman" w:hAnsi="Times New Roman" w:cs="Times New Roman"/>
          <w:sz w:val="24"/>
          <w:szCs w:val="24"/>
        </w:rPr>
        <w:t>).</w:t>
      </w:r>
    </w:p>
    <w:p w:rsidR="007A2A52" w:rsidRPr="00E07A85" w:rsidRDefault="007A2A52" w:rsidP="007A2A52">
      <w:pPr>
        <w:pStyle w:val="1"/>
        <w:numPr>
          <w:ilvl w:val="0"/>
          <w:numId w:val="0"/>
        </w:numPr>
        <w:tabs>
          <w:tab w:val="left" w:pos="993"/>
        </w:tabs>
        <w:ind w:left="1004"/>
        <w:jc w:val="both"/>
        <w:rPr>
          <w:b/>
          <w:sz w:val="24"/>
          <w:szCs w:val="24"/>
          <w:lang w:val="en-US"/>
        </w:rPr>
      </w:pPr>
    </w:p>
    <w:p w:rsidR="007F300F" w:rsidRDefault="007F300F" w:rsidP="00E07A85">
      <w:pPr>
        <w:pStyle w:val="1"/>
        <w:numPr>
          <w:ilvl w:val="0"/>
          <w:numId w:val="0"/>
        </w:numPr>
        <w:tabs>
          <w:tab w:val="left" w:pos="993"/>
        </w:tabs>
        <w:ind w:firstLine="284"/>
        <w:jc w:val="both"/>
        <w:rPr>
          <w:sz w:val="24"/>
          <w:szCs w:val="24"/>
          <w:lang w:val="en-US"/>
        </w:rPr>
      </w:pPr>
    </w:p>
    <w:p w:rsidR="001D38C5" w:rsidRDefault="001D38C5" w:rsidP="00E07A85">
      <w:pPr>
        <w:pStyle w:val="1"/>
        <w:numPr>
          <w:ilvl w:val="0"/>
          <w:numId w:val="0"/>
        </w:numPr>
        <w:tabs>
          <w:tab w:val="left" w:pos="993"/>
        </w:tabs>
        <w:ind w:firstLine="284"/>
        <w:jc w:val="both"/>
        <w:rPr>
          <w:sz w:val="24"/>
          <w:szCs w:val="24"/>
          <w:lang w:val="en-US"/>
        </w:rPr>
      </w:pPr>
    </w:p>
    <w:p w:rsidR="001D38C5" w:rsidRPr="001D38C5" w:rsidRDefault="001D38C5" w:rsidP="00E07A85">
      <w:pPr>
        <w:pStyle w:val="1"/>
        <w:numPr>
          <w:ilvl w:val="0"/>
          <w:numId w:val="0"/>
        </w:numPr>
        <w:tabs>
          <w:tab w:val="left" w:pos="993"/>
        </w:tabs>
        <w:ind w:firstLine="284"/>
        <w:jc w:val="both"/>
        <w:rPr>
          <w:sz w:val="24"/>
          <w:szCs w:val="24"/>
          <w:lang w:val="en-US"/>
        </w:rPr>
      </w:pPr>
    </w:p>
    <w:p w:rsidR="00C31D3F" w:rsidRPr="00C31D3F" w:rsidRDefault="00C31D3F" w:rsidP="00E07A85">
      <w:pPr>
        <w:pStyle w:val="1"/>
        <w:numPr>
          <w:ilvl w:val="0"/>
          <w:numId w:val="0"/>
        </w:numPr>
        <w:tabs>
          <w:tab w:val="left" w:pos="993"/>
        </w:tabs>
        <w:jc w:val="both"/>
        <w:rPr>
          <w:sz w:val="24"/>
          <w:szCs w:val="24"/>
          <w:lang w:val="en-US"/>
        </w:rPr>
      </w:pPr>
    </w:p>
    <w:p w:rsidR="00DA6DE5" w:rsidRPr="00673185" w:rsidRDefault="00DA6DE5" w:rsidP="00E07A85">
      <w:pPr>
        <w:jc w:val="both"/>
        <w:rPr>
          <w:lang w:val="en-US"/>
        </w:rPr>
      </w:pPr>
    </w:p>
    <w:sectPr w:rsidR="00DA6DE5" w:rsidRPr="00673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250CF"/>
    <w:multiLevelType w:val="hybridMultilevel"/>
    <w:tmpl w:val="93CEDE0C"/>
    <w:lvl w:ilvl="0" w:tplc="03A4051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70201"/>
    <w:multiLevelType w:val="hybridMultilevel"/>
    <w:tmpl w:val="7A0C8438"/>
    <w:lvl w:ilvl="0" w:tplc="49FA56B2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D17191C"/>
    <w:multiLevelType w:val="hybridMultilevel"/>
    <w:tmpl w:val="E91C7FDE"/>
    <w:lvl w:ilvl="0" w:tplc="03A40514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E020DF4"/>
    <w:multiLevelType w:val="hybridMultilevel"/>
    <w:tmpl w:val="F79A6E62"/>
    <w:lvl w:ilvl="0" w:tplc="BF1C50E6">
      <w:start w:val="1"/>
      <w:numFmt w:val="decimal"/>
      <w:pStyle w:val="1"/>
      <w:lvlText w:val="%1."/>
      <w:lvlJc w:val="left"/>
      <w:pPr>
        <w:tabs>
          <w:tab w:val="num" w:pos="972"/>
        </w:tabs>
        <w:ind w:left="97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B6"/>
    <w:rsid w:val="000560F9"/>
    <w:rsid w:val="00075873"/>
    <w:rsid w:val="00091A52"/>
    <w:rsid w:val="000A76C4"/>
    <w:rsid w:val="000C05B6"/>
    <w:rsid w:val="000F1630"/>
    <w:rsid w:val="00147C10"/>
    <w:rsid w:val="001927DB"/>
    <w:rsid w:val="001A3C02"/>
    <w:rsid w:val="001B249B"/>
    <w:rsid w:val="001B2DB6"/>
    <w:rsid w:val="001B4E19"/>
    <w:rsid w:val="001B4F87"/>
    <w:rsid w:val="001D38C5"/>
    <w:rsid w:val="001E7F03"/>
    <w:rsid w:val="001F54CB"/>
    <w:rsid w:val="00247B92"/>
    <w:rsid w:val="002574C0"/>
    <w:rsid w:val="002A5AEA"/>
    <w:rsid w:val="002F499C"/>
    <w:rsid w:val="002F7184"/>
    <w:rsid w:val="00317EC8"/>
    <w:rsid w:val="004203C3"/>
    <w:rsid w:val="00424E17"/>
    <w:rsid w:val="00475AA8"/>
    <w:rsid w:val="00493671"/>
    <w:rsid w:val="004B3555"/>
    <w:rsid w:val="00524D0A"/>
    <w:rsid w:val="005543DA"/>
    <w:rsid w:val="00557A49"/>
    <w:rsid w:val="00565ED0"/>
    <w:rsid w:val="005867FB"/>
    <w:rsid w:val="005F0977"/>
    <w:rsid w:val="00622305"/>
    <w:rsid w:val="006569DB"/>
    <w:rsid w:val="00671767"/>
    <w:rsid w:val="00673185"/>
    <w:rsid w:val="00676783"/>
    <w:rsid w:val="006919CC"/>
    <w:rsid w:val="006C393C"/>
    <w:rsid w:val="006C46C2"/>
    <w:rsid w:val="006D0F00"/>
    <w:rsid w:val="006D334D"/>
    <w:rsid w:val="006E42BA"/>
    <w:rsid w:val="006F6D6D"/>
    <w:rsid w:val="00707F4C"/>
    <w:rsid w:val="00714E73"/>
    <w:rsid w:val="00724728"/>
    <w:rsid w:val="00745D1E"/>
    <w:rsid w:val="007505C9"/>
    <w:rsid w:val="0075238A"/>
    <w:rsid w:val="0075259A"/>
    <w:rsid w:val="007956C8"/>
    <w:rsid w:val="007A2A52"/>
    <w:rsid w:val="007C2F34"/>
    <w:rsid w:val="007D6006"/>
    <w:rsid w:val="007F300F"/>
    <w:rsid w:val="00830F2C"/>
    <w:rsid w:val="00877D3B"/>
    <w:rsid w:val="008A30B4"/>
    <w:rsid w:val="008E707E"/>
    <w:rsid w:val="0091598A"/>
    <w:rsid w:val="00917CE5"/>
    <w:rsid w:val="00966D7F"/>
    <w:rsid w:val="00976D05"/>
    <w:rsid w:val="009877A8"/>
    <w:rsid w:val="009F3BFB"/>
    <w:rsid w:val="00A20924"/>
    <w:rsid w:val="00A35E86"/>
    <w:rsid w:val="00A40E70"/>
    <w:rsid w:val="00A5076B"/>
    <w:rsid w:val="00A702EA"/>
    <w:rsid w:val="00B03575"/>
    <w:rsid w:val="00B15353"/>
    <w:rsid w:val="00B161DF"/>
    <w:rsid w:val="00B23061"/>
    <w:rsid w:val="00B37D9C"/>
    <w:rsid w:val="00C31D3F"/>
    <w:rsid w:val="00C673B4"/>
    <w:rsid w:val="00C76368"/>
    <w:rsid w:val="00CA1A38"/>
    <w:rsid w:val="00CA33DD"/>
    <w:rsid w:val="00D2559C"/>
    <w:rsid w:val="00DA113F"/>
    <w:rsid w:val="00DA6DE5"/>
    <w:rsid w:val="00DE52FB"/>
    <w:rsid w:val="00E05572"/>
    <w:rsid w:val="00E07A85"/>
    <w:rsid w:val="00E13EB5"/>
    <w:rsid w:val="00E16936"/>
    <w:rsid w:val="00E527CF"/>
    <w:rsid w:val="00E716BB"/>
    <w:rsid w:val="00EF56CB"/>
    <w:rsid w:val="00F139DC"/>
    <w:rsid w:val="00FA47DE"/>
    <w:rsid w:val="00FA7762"/>
    <w:rsid w:val="00FB1A79"/>
    <w:rsid w:val="00FD718D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0F29"/>
  <w15:docId w15:val="{C7468C91-8988-462E-AED4-CB319A5C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C0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sNames">
    <w:name w:val="Authors Names"/>
    <w:basedOn w:val="a"/>
    <w:rsid w:val="000C05B6"/>
    <w:pPr>
      <w:ind w:firstLine="252"/>
    </w:pPr>
    <w:rPr>
      <w:rFonts w:ascii="Arial" w:hAnsi="Arial" w:cs="Arial"/>
      <w:b/>
      <w:bCs/>
      <w:sz w:val="18"/>
      <w:szCs w:val="18"/>
    </w:rPr>
  </w:style>
  <w:style w:type="paragraph" w:customStyle="1" w:styleId="CompanyName">
    <w:name w:val="Company Name"/>
    <w:basedOn w:val="a"/>
    <w:rsid w:val="000C05B6"/>
    <w:pPr>
      <w:ind w:firstLine="249"/>
    </w:pPr>
    <w:rPr>
      <w:rFonts w:ascii="Arial" w:hAnsi="Arial"/>
      <w:bCs/>
      <w:iCs/>
      <w:sz w:val="18"/>
    </w:rPr>
  </w:style>
  <w:style w:type="paragraph" w:customStyle="1" w:styleId="CommonText">
    <w:name w:val="Common Text"/>
    <w:basedOn w:val="a"/>
    <w:rsid w:val="000C05B6"/>
    <w:pPr>
      <w:ind w:firstLine="252"/>
      <w:jc w:val="both"/>
    </w:pPr>
    <w:rPr>
      <w:sz w:val="20"/>
      <w:szCs w:val="20"/>
    </w:rPr>
  </w:style>
  <w:style w:type="paragraph" w:customStyle="1" w:styleId="TableColumnandRowTitels">
    <w:name w:val="Table Column and Row Titels"/>
    <w:basedOn w:val="a"/>
    <w:rsid w:val="000C05B6"/>
    <w:pPr>
      <w:spacing w:before="40"/>
      <w:jc w:val="both"/>
    </w:pPr>
    <w:rPr>
      <w:rFonts w:ascii="Arial" w:hAnsi="Arial" w:cs="Arial"/>
      <w:b/>
      <w:bCs/>
      <w:sz w:val="16"/>
      <w:szCs w:val="20"/>
    </w:rPr>
  </w:style>
  <w:style w:type="paragraph" w:customStyle="1" w:styleId="Tableinside">
    <w:name w:val="Table inside"/>
    <w:basedOn w:val="a"/>
    <w:rsid w:val="000C05B6"/>
    <w:pPr>
      <w:spacing w:before="40"/>
      <w:jc w:val="center"/>
    </w:pPr>
    <w:rPr>
      <w:rFonts w:ascii="Arial" w:hAnsi="Arial" w:cs="Arial"/>
      <w:sz w:val="16"/>
      <w:szCs w:val="20"/>
    </w:rPr>
  </w:style>
  <w:style w:type="paragraph" w:customStyle="1" w:styleId="TableTitle">
    <w:name w:val="Table Title"/>
    <w:basedOn w:val="TableColumnandRowTitels"/>
    <w:rsid w:val="000C05B6"/>
    <w:pPr>
      <w:spacing w:before="120" w:after="80"/>
      <w:ind w:firstLine="249"/>
      <w:jc w:val="center"/>
    </w:pPr>
    <w:rPr>
      <w:rFonts w:ascii="Times New Roman" w:hAnsi="Times New Roman"/>
      <w:sz w:val="20"/>
    </w:rPr>
  </w:style>
  <w:style w:type="paragraph" w:customStyle="1" w:styleId="DrowTitle">
    <w:name w:val="Drow Title"/>
    <w:basedOn w:val="CommonText"/>
    <w:rsid w:val="000C05B6"/>
    <w:pPr>
      <w:spacing w:after="80"/>
      <w:ind w:firstLine="249"/>
      <w:jc w:val="center"/>
    </w:pPr>
    <w:rPr>
      <w:i/>
      <w:iCs/>
    </w:rPr>
  </w:style>
  <w:style w:type="paragraph" w:customStyle="1" w:styleId="1">
    <w:name w:val="Список литературы1"/>
    <w:basedOn w:val="CommonText"/>
    <w:rsid w:val="000C05B6"/>
    <w:pPr>
      <w:numPr>
        <w:numId w:val="1"/>
      </w:numPr>
      <w:jc w:val="left"/>
    </w:pPr>
  </w:style>
  <w:style w:type="paragraph" w:customStyle="1" w:styleId="BibliographyTitle">
    <w:name w:val="Bibliography Title"/>
    <w:basedOn w:val="CommonText"/>
    <w:rsid w:val="000C05B6"/>
    <w:pPr>
      <w:spacing w:before="140" w:after="80"/>
      <w:ind w:firstLine="249"/>
      <w:jc w:val="center"/>
    </w:pPr>
    <w:rPr>
      <w:b/>
      <w:bCs/>
    </w:rPr>
  </w:style>
  <w:style w:type="paragraph" w:customStyle="1" w:styleId="Title1">
    <w:name w:val="Title1"/>
    <w:basedOn w:val="a"/>
    <w:rsid w:val="000C05B6"/>
    <w:pPr>
      <w:pBdr>
        <w:top w:val="single" w:sz="18" w:space="1" w:color="auto"/>
      </w:pBdr>
    </w:pPr>
    <w:rPr>
      <w:rFonts w:ascii="Arial" w:hAnsi="Arial"/>
      <w:b/>
      <w:caps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0C05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5B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03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C31D3F"/>
    <w:pPr>
      <w:spacing w:before="100" w:beforeAutospacing="1" w:after="100" w:afterAutospacing="1"/>
    </w:pPr>
    <w:rPr>
      <w:rFonts w:eastAsiaTheme="minorEastAsia"/>
    </w:rPr>
  </w:style>
  <w:style w:type="paragraph" w:styleId="a7">
    <w:name w:val="List Paragraph"/>
    <w:basedOn w:val="a"/>
    <w:uiPriority w:val="34"/>
    <w:qFormat/>
    <w:rsid w:val="007A2A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Артем Атласкин</cp:lastModifiedBy>
  <cp:revision>2</cp:revision>
  <cp:lastPrinted>2017-04-01T15:09:00Z</cp:lastPrinted>
  <dcterms:created xsi:type="dcterms:W3CDTF">2017-04-01T15:55:00Z</dcterms:created>
  <dcterms:modified xsi:type="dcterms:W3CDTF">2017-04-01T15:55:00Z</dcterms:modified>
</cp:coreProperties>
</file>