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3A2" w:rsidRPr="00D563A2" w:rsidRDefault="00D563A2" w:rsidP="00D563A2">
      <w:pPr>
        <w:widowControl w:val="0"/>
        <w:shd w:val="clear" w:color="auto" w:fill="FFFFFF"/>
        <w:tabs>
          <w:tab w:val="left" w:pos="7088"/>
          <w:tab w:val="left" w:pos="7513"/>
          <w:tab w:val="left" w:pos="765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noProof/>
          <w:sz w:val="32"/>
          <w:szCs w:val="32"/>
        </w:rPr>
      </w:pPr>
      <w:r w:rsidRPr="00D563A2">
        <w:rPr>
          <w:rFonts w:ascii="Times New Roman" w:hAnsi="Times New Roman"/>
          <w:b/>
          <w:caps/>
          <w:noProof/>
          <w:sz w:val="32"/>
          <w:szCs w:val="32"/>
        </w:rPr>
        <w:t>Влияние структуры лиганда  на квантовый выход люминесценции комплексных соединений европия (</w:t>
      </w:r>
      <w:r w:rsidRPr="00D563A2">
        <w:rPr>
          <w:rFonts w:ascii="Times New Roman" w:hAnsi="Times New Roman"/>
          <w:b/>
          <w:caps/>
          <w:noProof/>
          <w:sz w:val="32"/>
          <w:szCs w:val="32"/>
          <w:lang w:val="en-US"/>
        </w:rPr>
        <w:t>III</w:t>
      </w:r>
      <w:r w:rsidRPr="00D563A2">
        <w:rPr>
          <w:rFonts w:ascii="Times New Roman" w:hAnsi="Times New Roman"/>
          <w:b/>
          <w:caps/>
          <w:noProof/>
          <w:sz w:val="32"/>
          <w:szCs w:val="32"/>
        </w:rPr>
        <w:t>) и тербия(</w:t>
      </w:r>
      <w:r w:rsidRPr="00D563A2">
        <w:rPr>
          <w:rFonts w:ascii="Times New Roman" w:hAnsi="Times New Roman"/>
          <w:b/>
          <w:caps/>
          <w:noProof/>
          <w:sz w:val="32"/>
          <w:szCs w:val="32"/>
          <w:lang w:val="en-US"/>
        </w:rPr>
        <w:t>III</w:t>
      </w:r>
      <w:r w:rsidRPr="00D563A2">
        <w:rPr>
          <w:rFonts w:ascii="Times New Roman" w:hAnsi="Times New Roman"/>
          <w:b/>
          <w:caps/>
          <w:noProof/>
          <w:sz w:val="32"/>
          <w:szCs w:val="32"/>
        </w:rPr>
        <w:t>) с ароматическими карбоновыми кислотами</w:t>
      </w:r>
    </w:p>
    <w:p w:rsidR="00D563A2" w:rsidRDefault="00D563A2" w:rsidP="00D563A2">
      <w:pPr>
        <w:pStyle w:val="Default"/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Комаричева</w:t>
      </w:r>
      <w:proofErr w:type="spellEnd"/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Т</w:t>
      </w:r>
      <w:r>
        <w:rPr>
          <w:sz w:val="32"/>
          <w:szCs w:val="32"/>
        </w:rPr>
        <w:t>.А.</w:t>
      </w:r>
    </w:p>
    <w:p w:rsidR="00877239" w:rsidRPr="00CC23F5" w:rsidRDefault="00D563A2" w:rsidP="00D563A2">
      <w:pPr>
        <w:jc w:val="center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Кубанский государственный университет, г. Краснодар</w:t>
      </w:r>
      <w:r>
        <w:rPr>
          <w:i/>
          <w:iCs/>
          <w:sz w:val="32"/>
          <w:szCs w:val="32"/>
        </w:rPr>
        <w:t xml:space="preserve"> </w:t>
      </w:r>
      <w:hyperlink r:id="rId5" w:history="1">
        <w:r w:rsidR="00CC23F5" w:rsidRPr="00046728">
          <w:rPr>
            <w:rStyle w:val="a3"/>
            <w:i/>
            <w:iCs/>
            <w:sz w:val="32"/>
            <w:szCs w:val="32"/>
          </w:rPr>
          <w:t>ko</w:t>
        </w:r>
        <w:r w:rsidR="00CC23F5" w:rsidRPr="00046728">
          <w:rPr>
            <w:rStyle w:val="a3"/>
            <w:i/>
            <w:iCs/>
            <w:sz w:val="32"/>
            <w:szCs w:val="32"/>
            <w:lang w:val="en-US"/>
          </w:rPr>
          <w:t>marichevat</w:t>
        </w:r>
        <w:r w:rsidR="00CC23F5" w:rsidRPr="00046728">
          <w:rPr>
            <w:rStyle w:val="a3"/>
            <w:i/>
            <w:iCs/>
            <w:sz w:val="32"/>
            <w:szCs w:val="32"/>
          </w:rPr>
          <w:t>@</w:t>
        </w:r>
        <w:r w:rsidR="00CC23F5" w:rsidRPr="00046728">
          <w:rPr>
            <w:rStyle w:val="a3"/>
            <w:i/>
            <w:iCs/>
            <w:sz w:val="32"/>
            <w:szCs w:val="32"/>
            <w:lang w:val="en-US"/>
          </w:rPr>
          <w:t>mail</w:t>
        </w:r>
        <w:r w:rsidR="00CC23F5" w:rsidRPr="00046728">
          <w:rPr>
            <w:rStyle w:val="a3"/>
            <w:i/>
            <w:iCs/>
            <w:sz w:val="32"/>
            <w:szCs w:val="32"/>
          </w:rPr>
          <w:t>.ru</w:t>
        </w:r>
      </w:hyperlink>
    </w:p>
    <w:p w:rsidR="00CC23F5" w:rsidRPr="00C31CF6" w:rsidRDefault="00CC23F5" w:rsidP="00C31CF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1CF6">
        <w:rPr>
          <w:rFonts w:ascii="Times New Roman" w:hAnsi="Times New Roman"/>
          <w:sz w:val="28"/>
          <w:szCs w:val="28"/>
        </w:rPr>
        <w:t>Одной из важнейших задач, при получении новых люминесцирующих соединений является определение количественной характеристики - квантового выхода.</w:t>
      </w:r>
      <w:r w:rsidR="00C31CF6" w:rsidRPr="00C31CF6">
        <w:rPr>
          <w:rFonts w:ascii="Times New Roman" w:hAnsi="Times New Roman"/>
          <w:sz w:val="28"/>
          <w:szCs w:val="28"/>
        </w:rPr>
        <w:t xml:space="preserve"> </w:t>
      </w:r>
    </w:p>
    <w:p w:rsidR="00C31CF6" w:rsidRDefault="00C31CF6" w:rsidP="0014217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1CF6">
        <w:rPr>
          <w:rFonts w:ascii="Times New Roman" w:hAnsi="Times New Roman"/>
          <w:sz w:val="28"/>
          <w:szCs w:val="28"/>
        </w:rPr>
        <w:t>Есть несколько известных экспериментальных процедур для определения квантового выхода лантанои</w:t>
      </w:r>
      <w:r w:rsidRPr="00C31CF6">
        <w:rPr>
          <w:rFonts w:ascii="Times New Roman" w:hAnsi="Times New Roman"/>
          <w:sz w:val="28"/>
          <w:szCs w:val="28"/>
        </w:rPr>
        <w:t xml:space="preserve">дов, содержащихся в растворе. </w:t>
      </w:r>
      <w:r w:rsidRPr="00C31CF6">
        <w:rPr>
          <w:rFonts w:ascii="Times New Roman" w:hAnsi="Times New Roman"/>
          <w:sz w:val="28"/>
          <w:szCs w:val="28"/>
        </w:rPr>
        <w:t>Абсолютный метод основан на ди</w:t>
      </w:r>
      <w:r w:rsidRPr="00C31CF6">
        <w:rPr>
          <w:rFonts w:ascii="Times New Roman" w:hAnsi="Times New Roman"/>
          <w:sz w:val="28"/>
          <w:szCs w:val="28"/>
        </w:rPr>
        <w:t>польном рассеянии монохроматиче</w:t>
      </w:r>
      <w:r w:rsidRPr="00C31CF6">
        <w:rPr>
          <w:rFonts w:ascii="Times New Roman" w:hAnsi="Times New Roman"/>
          <w:sz w:val="28"/>
          <w:szCs w:val="28"/>
        </w:rPr>
        <w:t>ского света. Измерение абсолютного квантового выхода можно проводить для твердых образцов при возбуждении иона РЗЭ(</w:t>
      </w:r>
      <w:r w:rsidRPr="00C31CF6">
        <w:rPr>
          <w:rFonts w:ascii="Times New Roman" w:hAnsi="Times New Roman"/>
          <w:sz w:val="28"/>
          <w:szCs w:val="28"/>
          <w:lang w:val="en-US"/>
        </w:rPr>
        <w:t>III</w:t>
      </w:r>
      <w:r w:rsidRPr="00C31CF6">
        <w:rPr>
          <w:rFonts w:ascii="Times New Roman" w:hAnsi="Times New Roman"/>
          <w:sz w:val="28"/>
          <w:szCs w:val="28"/>
        </w:rPr>
        <w:t xml:space="preserve">) через </w:t>
      </w:r>
      <w:proofErr w:type="gramStart"/>
      <w:r w:rsidRPr="00C31CF6">
        <w:rPr>
          <w:rFonts w:ascii="Times New Roman" w:hAnsi="Times New Roman"/>
          <w:sz w:val="28"/>
          <w:szCs w:val="28"/>
        </w:rPr>
        <w:t>органические</w:t>
      </w:r>
      <w:proofErr w:type="gramEnd"/>
      <w:r w:rsidRPr="00C31C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31CF6">
        <w:rPr>
          <w:rFonts w:ascii="Times New Roman" w:hAnsi="Times New Roman"/>
          <w:sz w:val="28"/>
          <w:szCs w:val="28"/>
        </w:rPr>
        <w:t>лиганды</w:t>
      </w:r>
      <w:proofErr w:type="spellEnd"/>
      <w:r w:rsidR="0014217A">
        <w:rPr>
          <w:rFonts w:ascii="Times New Roman" w:hAnsi="Times New Roman"/>
          <w:sz w:val="28"/>
          <w:szCs w:val="28"/>
        </w:rPr>
        <w:t xml:space="preserve"> </w:t>
      </w:r>
      <w:r w:rsidRPr="00C31CF6">
        <w:rPr>
          <w:rFonts w:ascii="Times New Roman" w:hAnsi="Times New Roman"/>
          <w:sz w:val="28"/>
          <w:szCs w:val="28"/>
        </w:rPr>
        <w:t>п</w:t>
      </w:r>
      <w:r w:rsidRPr="00C31CF6">
        <w:rPr>
          <w:rFonts w:ascii="Times New Roman" w:hAnsi="Times New Roman"/>
          <w:sz w:val="28"/>
          <w:szCs w:val="28"/>
        </w:rPr>
        <w:t xml:space="preserve">о абсолютному методу </w:t>
      </w:r>
      <w:proofErr w:type="spellStart"/>
      <w:r w:rsidRPr="00C31CF6">
        <w:rPr>
          <w:rFonts w:ascii="Times New Roman" w:hAnsi="Times New Roman"/>
          <w:sz w:val="28"/>
          <w:szCs w:val="28"/>
        </w:rPr>
        <w:t>Райтона</w:t>
      </w:r>
      <w:proofErr w:type="spellEnd"/>
      <w:r w:rsidRPr="00C31CF6">
        <w:rPr>
          <w:rFonts w:ascii="Times New Roman" w:hAnsi="Times New Roman"/>
          <w:sz w:val="28"/>
          <w:szCs w:val="28"/>
        </w:rPr>
        <w:t>. Более часто применяется относительный метод, в котором используют комплексы металлов с известным квантовым выходом.</w:t>
      </w:r>
    </w:p>
    <w:p w:rsidR="00C31CF6" w:rsidRPr="00C31CF6" w:rsidRDefault="00C31CF6" w:rsidP="0014217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1CF6">
        <w:rPr>
          <w:rFonts w:ascii="Times New Roman" w:hAnsi="Times New Roman"/>
          <w:sz w:val="28"/>
          <w:szCs w:val="28"/>
        </w:rPr>
        <w:t xml:space="preserve">Из механизма люминесценции комплексных соединений лантаноидов следует, что для внутримолекулярного переноса энергии большое значение имеет взаимное расположение триплетного уровня </w:t>
      </w:r>
      <w:proofErr w:type="spellStart"/>
      <w:r w:rsidRPr="00C31CF6">
        <w:rPr>
          <w:rFonts w:ascii="Times New Roman" w:hAnsi="Times New Roman"/>
          <w:sz w:val="28"/>
          <w:szCs w:val="28"/>
        </w:rPr>
        <w:t>лиганда</w:t>
      </w:r>
      <w:proofErr w:type="spellEnd"/>
      <w:r w:rsidRPr="00C31CF6">
        <w:rPr>
          <w:rFonts w:ascii="Times New Roman" w:hAnsi="Times New Roman"/>
          <w:sz w:val="28"/>
          <w:szCs w:val="28"/>
        </w:rPr>
        <w:t xml:space="preserve"> и резонансного уровня лантаноида.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1CF6">
        <w:rPr>
          <w:rFonts w:ascii="Times New Roman" w:hAnsi="Times New Roman"/>
          <w:sz w:val="28"/>
          <w:szCs w:val="28"/>
        </w:rPr>
        <w:t xml:space="preserve">Для бензойной кислоты величина энергетического зазора не укладывается в эффективный диапазон, поэтому для </w:t>
      </w:r>
      <w:proofErr w:type="spellStart"/>
      <w:r w:rsidRPr="00C31CF6">
        <w:rPr>
          <w:rFonts w:ascii="Times New Roman" w:hAnsi="Times New Roman"/>
          <w:sz w:val="28"/>
          <w:szCs w:val="28"/>
        </w:rPr>
        <w:t>бензоатов</w:t>
      </w:r>
      <w:proofErr w:type="spellEnd"/>
      <w:r w:rsidRPr="00C31CF6">
        <w:rPr>
          <w:rFonts w:ascii="Times New Roman" w:hAnsi="Times New Roman"/>
          <w:sz w:val="28"/>
          <w:szCs w:val="28"/>
        </w:rPr>
        <w:t xml:space="preserve"> европия(</w:t>
      </w:r>
      <w:r w:rsidRPr="00C31CF6">
        <w:rPr>
          <w:rFonts w:ascii="Times New Roman" w:hAnsi="Times New Roman"/>
          <w:sz w:val="28"/>
          <w:szCs w:val="28"/>
          <w:lang w:val="en-US"/>
        </w:rPr>
        <w:t>III</w:t>
      </w:r>
      <w:r w:rsidRPr="00C31CF6">
        <w:rPr>
          <w:rFonts w:ascii="Times New Roman" w:hAnsi="Times New Roman"/>
          <w:sz w:val="28"/>
          <w:szCs w:val="28"/>
        </w:rPr>
        <w:t>) и тербия(</w:t>
      </w:r>
      <w:r w:rsidRPr="00C31CF6">
        <w:rPr>
          <w:rFonts w:ascii="Times New Roman" w:hAnsi="Times New Roman"/>
          <w:sz w:val="28"/>
          <w:szCs w:val="28"/>
          <w:lang w:val="en-US"/>
        </w:rPr>
        <w:t>III</w:t>
      </w:r>
      <w:r w:rsidRPr="00C31CF6">
        <w:rPr>
          <w:rFonts w:ascii="Times New Roman" w:hAnsi="Times New Roman"/>
          <w:sz w:val="28"/>
          <w:szCs w:val="28"/>
        </w:rPr>
        <w:t xml:space="preserve">) наблюдаются достаточно низкие квантовые выходы. </w:t>
      </w:r>
    </w:p>
    <w:p w:rsidR="00C31CF6" w:rsidRPr="00C31CF6" w:rsidRDefault="00C31CF6" w:rsidP="0014217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1CF6">
        <w:rPr>
          <w:rFonts w:ascii="Times New Roman" w:hAnsi="Times New Roman"/>
          <w:sz w:val="28"/>
          <w:szCs w:val="28"/>
        </w:rPr>
        <w:t xml:space="preserve">Введение в бензойную кислоту </w:t>
      </w:r>
      <w:proofErr w:type="gramStart"/>
      <w:r w:rsidRPr="00C31CF6">
        <w:rPr>
          <w:rFonts w:ascii="Times New Roman" w:hAnsi="Times New Roman"/>
          <w:sz w:val="28"/>
          <w:szCs w:val="28"/>
        </w:rPr>
        <w:t>электроноакцепторных</w:t>
      </w:r>
      <w:proofErr w:type="gramEnd"/>
      <w:r w:rsidRPr="00C31CF6">
        <w:rPr>
          <w:rFonts w:ascii="Times New Roman" w:hAnsi="Times New Roman"/>
          <w:sz w:val="28"/>
          <w:szCs w:val="28"/>
        </w:rPr>
        <w:t xml:space="preserve"> заместителя –OH приводит к значительному понижению триплетного уровня </w:t>
      </w:r>
      <w:proofErr w:type="spellStart"/>
      <w:r w:rsidRPr="00C31CF6">
        <w:rPr>
          <w:rFonts w:ascii="Times New Roman" w:hAnsi="Times New Roman"/>
          <w:sz w:val="28"/>
          <w:szCs w:val="28"/>
        </w:rPr>
        <w:t>лиганда</w:t>
      </w:r>
      <w:proofErr w:type="spellEnd"/>
      <w:r w:rsidRPr="00C31CF6">
        <w:rPr>
          <w:rFonts w:ascii="Times New Roman" w:hAnsi="Times New Roman"/>
          <w:sz w:val="28"/>
          <w:szCs w:val="28"/>
        </w:rPr>
        <w:t xml:space="preserve">, причем в </w:t>
      </w:r>
      <w:proofErr w:type="spellStart"/>
      <w:r w:rsidRPr="00C31CF6">
        <w:rPr>
          <w:rFonts w:ascii="Times New Roman" w:hAnsi="Times New Roman"/>
          <w:sz w:val="28"/>
          <w:szCs w:val="28"/>
        </w:rPr>
        <w:t>орто</w:t>
      </w:r>
      <w:proofErr w:type="spellEnd"/>
      <w:r w:rsidRPr="00C31CF6">
        <w:rPr>
          <w:rFonts w:ascii="Times New Roman" w:hAnsi="Times New Roman"/>
          <w:sz w:val="28"/>
          <w:szCs w:val="28"/>
        </w:rPr>
        <w:t xml:space="preserve">-положении это снижение больше. </w:t>
      </w:r>
      <w:proofErr w:type="gramStart"/>
      <w:r w:rsidRPr="00C31CF6">
        <w:rPr>
          <w:rFonts w:ascii="Times New Roman" w:hAnsi="Times New Roman"/>
          <w:sz w:val="28"/>
          <w:szCs w:val="28"/>
        </w:rPr>
        <w:t>В результате этого величина разницы становится оптимальной в случае тербия(</w:t>
      </w:r>
      <w:r w:rsidRPr="00C31CF6">
        <w:rPr>
          <w:rFonts w:ascii="Times New Roman" w:hAnsi="Times New Roman"/>
          <w:sz w:val="28"/>
          <w:szCs w:val="28"/>
          <w:lang w:val="en-US"/>
        </w:rPr>
        <w:t>III</w:t>
      </w:r>
      <w:r w:rsidRPr="00C31CF6">
        <w:rPr>
          <w:rFonts w:ascii="Times New Roman" w:hAnsi="Times New Roman"/>
          <w:sz w:val="28"/>
          <w:szCs w:val="28"/>
        </w:rPr>
        <w:t>), поэтому для салициловой и пара-</w:t>
      </w:r>
      <w:proofErr w:type="spellStart"/>
      <w:r w:rsidRPr="00C31CF6">
        <w:rPr>
          <w:rFonts w:ascii="Times New Roman" w:hAnsi="Times New Roman"/>
          <w:sz w:val="28"/>
          <w:szCs w:val="28"/>
        </w:rPr>
        <w:t>оксибензойной</w:t>
      </w:r>
      <w:proofErr w:type="spellEnd"/>
      <w:r w:rsidRPr="00C31CF6">
        <w:rPr>
          <w:rFonts w:ascii="Times New Roman" w:hAnsi="Times New Roman"/>
          <w:sz w:val="28"/>
          <w:szCs w:val="28"/>
        </w:rPr>
        <w:t xml:space="preserve"> кислот наблюдается повышение квантовых выходов по сравнению с </w:t>
      </w:r>
      <w:proofErr w:type="spellStart"/>
      <w:r w:rsidRPr="00C31CF6">
        <w:rPr>
          <w:rFonts w:ascii="Times New Roman" w:hAnsi="Times New Roman"/>
          <w:sz w:val="28"/>
          <w:szCs w:val="28"/>
        </w:rPr>
        <w:t>бензоатами</w:t>
      </w:r>
      <w:proofErr w:type="spellEnd"/>
      <w:r w:rsidRPr="00C31CF6">
        <w:rPr>
          <w:rFonts w:ascii="Times New Roman" w:hAnsi="Times New Roman"/>
          <w:sz w:val="28"/>
          <w:szCs w:val="28"/>
        </w:rPr>
        <w:t>.</w:t>
      </w:r>
      <w:proofErr w:type="gramEnd"/>
    </w:p>
    <w:p w:rsidR="0014217A" w:rsidRPr="008750A4" w:rsidRDefault="0014217A" w:rsidP="0014217A">
      <w:pPr>
        <w:spacing w:after="0" w:line="360" w:lineRule="auto"/>
        <w:ind w:firstLine="72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lastRenderedPageBreak/>
        <w:t>В</w:t>
      </w:r>
      <w:r w:rsidRPr="008750A4">
        <w:rPr>
          <w:rFonts w:ascii="Times New Roman" w:eastAsia="Calibri" w:hAnsi="Times New Roman"/>
          <w:sz w:val="28"/>
          <w:szCs w:val="28"/>
          <w:lang w:eastAsia="ru-RU"/>
        </w:rPr>
        <w:t xml:space="preserve">ведение </w:t>
      </w:r>
      <w:proofErr w:type="spellStart"/>
      <w:r w:rsidRPr="008750A4">
        <w:rPr>
          <w:rFonts w:ascii="Times New Roman" w:eastAsia="Calibri" w:hAnsi="Times New Roman"/>
          <w:sz w:val="28"/>
          <w:szCs w:val="28"/>
          <w:lang w:eastAsia="ru-RU"/>
        </w:rPr>
        <w:t>электроннодонорного</w:t>
      </w:r>
      <w:proofErr w:type="spellEnd"/>
      <w:r w:rsidRPr="008750A4">
        <w:rPr>
          <w:rFonts w:ascii="Times New Roman" w:eastAsia="Calibri" w:hAnsi="Times New Roman"/>
          <w:sz w:val="28"/>
          <w:szCs w:val="28"/>
          <w:lang w:eastAsia="ru-RU"/>
        </w:rPr>
        <w:t xml:space="preserve"> заместителя –NH</w:t>
      </w:r>
      <w:r w:rsidRPr="008750A4">
        <w:rPr>
          <w:rFonts w:ascii="Times New Roman" w:eastAsia="Calibri" w:hAnsi="Times New Roman"/>
          <w:sz w:val="28"/>
          <w:szCs w:val="28"/>
          <w:vertAlign w:val="subscript"/>
          <w:lang w:eastAsia="ru-RU"/>
        </w:rPr>
        <w:t>2</w:t>
      </w:r>
      <w:r w:rsidRPr="008750A4">
        <w:rPr>
          <w:rFonts w:ascii="Times New Roman" w:eastAsia="Calibri" w:hAnsi="Times New Roman"/>
          <w:sz w:val="28"/>
          <w:szCs w:val="28"/>
          <w:lang w:eastAsia="ru-RU"/>
        </w:rPr>
        <w:t xml:space="preserve"> практически не изменяет уровень T</w:t>
      </w:r>
      <w:r w:rsidRPr="008750A4">
        <w:rPr>
          <w:rFonts w:ascii="Times New Roman" w:eastAsia="Calibri" w:hAnsi="Times New Roman"/>
          <w:sz w:val="28"/>
          <w:szCs w:val="28"/>
          <w:vertAlign w:val="subscript"/>
          <w:lang w:eastAsia="ru-RU"/>
        </w:rPr>
        <w:t>1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, однако в ряду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о-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, м- и п-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аминобензойные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кислоты триплетный уровень кислот понижается, что </w:t>
      </w:r>
      <w:r w:rsidRPr="00EB7150">
        <w:rPr>
          <w:rFonts w:ascii="Times New Roman" w:hAnsi="Times New Roman"/>
          <w:sz w:val="28"/>
          <w:szCs w:val="28"/>
          <w:lang w:eastAsia="ru-RU"/>
        </w:rPr>
        <w:t>обусловлено различным распред</w:t>
      </w:r>
      <w:r w:rsidRPr="00EB7150">
        <w:rPr>
          <w:rFonts w:ascii="Times New Roman" w:hAnsi="Times New Roman"/>
          <w:sz w:val="28"/>
          <w:szCs w:val="28"/>
          <w:lang w:eastAsia="ru-RU"/>
        </w:rPr>
        <w:t>е</w:t>
      </w:r>
      <w:r w:rsidRPr="00EB7150">
        <w:rPr>
          <w:rFonts w:ascii="Times New Roman" w:hAnsi="Times New Roman"/>
          <w:sz w:val="28"/>
          <w:szCs w:val="28"/>
          <w:lang w:eastAsia="ru-RU"/>
        </w:rPr>
        <w:t xml:space="preserve">лением электронной плотности </w:t>
      </w:r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proofErr w:type="spellStart"/>
      <w:r w:rsidRPr="00EB7150">
        <w:rPr>
          <w:rFonts w:ascii="Times New Roman" w:hAnsi="Times New Roman"/>
          <w:sz w:val="28"/>
          <w:szCs w:val="28"/>
          <w:lang w:eastAsia="ru-RU"/>
        </w:rPr>
        <w:t>аминобензоата</w:t>
      </w:r>
      <w:r>
        <w:rPr>
          <w:rFonts w:ascii="Times New Roman" w:hAnsi="Times New Roman"/>
          <w:sz w:val="28"/>
          <w:szCs w:val="28"/>
          <w:lang w:eastAsia="ru-RU"/>
        </w:rPr>
        <w:t>х</w:t>
      </w:r>
      <w:proofErr w:type="spellEnd"/>
      <w:r w:rsidRPr="00EB7150">
        <w:rPr>
          <w:rFonts w:ascii="Times New Roman" w:hAnsi="Times New Roman"/>
          <w:sz w:val="28"/>
          <w:szCs w:val="28"/>
          <w:lang w:eastAsia="ru-RU"/>
        </w:rPr>
        <w:t>, в первую очередь</w:t>
      </w:r>
      <w:r>
        <w:rPr>
          <w:rFonts w:ascii="Times New Roman" w:hAnsi="Times New Roman"/>
          <w:sz w:val="28"/>
          <w:szCs w:val="28"/>
          <w:lang w:eastAsia="ru-RU"/>
        </w:rPr>
        <w:t xml:space="preserve"> в зав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8"/>
          <w:szCs w:val="28"/>
          <w:lang w:eastAsia="ru-RU"/>
        </w:rPr>
        <w:t>симости</w:t>
      </w:r>
      <w:r w:rsidRPr="00EB7150">
        <w:rPr>
          <w:rFonts w:ascii="Times New Roman" w:hAnsi="Times New Roman"/>
          <w:sz w:val="28"/>
          <w:szCs w:val="28"/>
          <w:lang w:eastAsia="ru-RU"/>
        </w:rPr>
        <w:t xml:space="preserve"> от положения группы NH</w:t>
      </w:r>
      <w:r w:rsidRPr="009157D6">
        <w:rPr>
          <w:rFonts w:ascii="Times New Roman" w:hAnsi="Times New Roman"/>
          <w:sz w:val="28"/>
          <w:szCs w:val="28"/>
          <w:vertAlign w:val="subscript"/>
          <w:lang w:eastAsia="ru-RU"/>
        </w:rPr>
        <w:t>2</w:t>
      </w:r>
      <w:r w:rsidRPr="00EB7150">
        <w:rPr>
          <w:rFonts w:ascii="Times New Roman" w:hAnsi="Times New Roman"/>
          <w:sz w:val="28"/>
          <w:szCs w:val="28"/>
          <w:lang w:eastAsia="ru-RU"/>
        </w:rPr>
        <w:t xml:space="preserve"> в ароматическом кольце.</w:t>
      </w:r>
    </w:p>
    <w:p w:rsidR="0014217A" w:rsidRDefault="0014217A" w:rsidP="0014217A">
      <w:pPr>
        <w:spacing w:after="0" w:line="360" w:lineRule="auto"/>
        <w:ind w:firstLine="72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8750A4">
        <w:rPr>
          <w:rFonts w:ascii="Times New Roman" w:eastAsia="Calibri" w:hAnsi="Times New Roman"/>
          <w:sz w:val="28"/>
          <w:szCs w:val="28"/>
          <w:lang w:eastAsia="ru-RU"/>
        </w:rPr>
        <w:t>Из значений энергетического зазора можно предположить, для соед</w:t>
      </w:r>
      <w:r w:rsidRPr="008750A4">
        <w:rPr>
          <w:rFonts w:ascii="Times New Roman" w:eastAsia="Calibri" w:hAnsi="Times New Roman"/>
          <w:sz w:val="28"/>
          <w:szCs w:val="28"/>
          <w:lang w:eastAsia="ru-RU"/>
        </w:rPr>
        <w:t>и</w:t>
      </w:r>
      <w:r w:rsidRPr="008750A4">
        <w:rPr>
          <w:rFonts w:ascii="Times New Roman" w:eastAsia="Calibri" w:hAnsi="Times New Roman"/>
          <w:sz w:val="28"/>
          <w:szCs w:val="28"/>
          <w:lang w:eastAsia="ru-RU"/>
        </w:rPr>
        <w:t xml:space="preserve">нений европия квантовый выход будет возрастать в ряду бензойная – </w:t>
      </w:r>
      <w:proofErr w:type="spellStart"/>
      <w:r w:rsidRPr="008750A4">
        <w:rPr>
          <w:rFonts w:ascii="Times New Roman" w:eastAsia="Calibri" w:hAnsi="Times New Roman"/>
          <w:sz w:val="28"/>
          <w:szCs w:val="28"/>
          <w:lang w:eastAsia="ru-RU"/>
        </w:rPr>
        <w:t>антр</w:t>
      </w:r>
      <w:r w:rsidRPr="008750A4">
        <w:rPr>
          <w:rFonts w:ascii="Times New Roman" w:eastAsia="Calibri" w:hAnsi="Times New Roman"/>
          <w:sz w:val="28"/>
          <w:szCs w:val="28"/>
          <w:lang w:eastAsia="ru-RU"/>
        </w:rPr>
        <w:t>а</w:t>
      </w:r>
      <w:r w:rsidRPr="008750A4">
        <w:rPr>
          <w:rFonts w:ascii="Times New Roman" w:eastAsia="Calibri" w:hAnsi="Times New Roman"/>
          <w:sz w:val="28"/>
          <w:szCs w:val="28"/>
          <w:lang w:eastAsia="ru-RU"/>
        </w:rPr>
        <w:t>ниловая</w:t>
      </w:r>
      <w:proofErr w:type="spellEnd"/>
      <w:r w:rsidRPr="008750A4">
        <w:rPr>
          <w:rFonts w:ascii="Times New Roman" w:eastAsia="Calibri" w:hAnsi="Times New Roman"/>
          <w:sz w:val="28"/>
          <w:szCs w:val="28"/>
          <w:lang w:eastAsia="ru-RU"/>
        </w:rPr>
        <w:t xml:space="preserve"> - п-</w:t>
      </w:r>
      <w:proofErr w:type="spellStart"/>
      <w:r w:rsidRPr="008750A4">
        <w:rPr>
          <w:rFonts w:ascii="Times New Roman" w:eastAsia="Calibri" w:hAnsi="Times New Roman"/>
          <w:sz w:val="28"/>
          <w:szCs w:val="28"/>
          <w:lang w:eastAsia="ru-RU"/>
        </w:rPr>
        <w:t>аминобензойная</w:t>
      </w:r>
      <w:proofErr w:type="spellEnd"/>
      <w:r w:rsidRPr="008750A4">
        <w:rPr>
          <w:rFonts w:ascii="Times New Roman" w:eastAsia="Calibri" w:hAnsi="Times New Roman"/>
          <w:sz w:val="28"/>
          <w:szCs w:val="28"/>
          <w:lang w:eastAsia="ru-RU"/>
        </w:rPr>
        <w:t xml:space="preserve"> – салициловая - п-</w:t>
      </w:r>
      <w:proofErr w:type="spellStart"/>
      <w:r w:rsidRPr="008750A4">
        <w:rPr>
          <w:rFonts w:ascii="Times New Roman" w:eastAsia="Calibri" w:hAnsi="Times New Roman"/>
          <w:sz w:val="28"/>
          <w:szCs w:val="28"/>
          <w:lang w:eastAsia="ru-RU"/>
        </w:rPr>
        <w:t>оксибензойная</w:t>
      </w:r>
      <w:proofErr w:type="spellEnd"/>
      <w:r w:rsidRPr="008750A4">
        <w:rPr>
          <w:rFonts w:ascii="Times New Roman" w:eastAsia="Calibri" w:hAnsi="Times New Roman"/>
          <w:sz w:val="28"/>
          <w:szCs w:val="28"/>
          <w:lang w:eastAsia="ru-RU"/>
        </w:rPr>
        <w:t xml:space="preserve"> – м-</w:t>
      </w:r>
      <w:proofErr w:type="spellStart"/>
      <w:r w:rsidRPr="008750A4">
        <w:rPr>
          <w:rFonts w:ascii="Times New Roman" w:eastAsia="Calibri" w:hAnsi="Times New Roman"/>
          <w:sz w:val="28"/>
          <w:szCs w:val="28"/>
          <w:lang w:eastAsia="ru-RU"/>
        </w:rPr>
        <w:t>аминобензойная</w:t>
      </w:r>
      <w:proofErr w:type="spellEnd"/>
      <w:r w:rsidRPr="008750A4">
        <w:rPr>
          <w:rFonts w:ascii="Times New Roman" w:eastAsia="Calibri" w:hAnsi="Times New Roman"/>
          <w:sz w:val="28"/>
          <w:szCs w:val="28"/>
          <w:lang w:eastAsia="ru-RU"/>
        </w:rPr>
        <w:t xml:space="preserve"> кислоты. Однако</w:t>
      </w:r>
      <w:proofErr w:type="gramStart"/>
      <w:r w:rsidRPr="008750A4">
        <w:rPr>
          <w:rFonts w:ascii="Times New Roman" w:eastAsia="Calibri" w:hAnsi="Times New Roman"/>
          <w:sz w:val="28"/>
          <w:szCs w:val="28"/>
          <w:lang w:eastAsia="ru-RU"/>
        </w:rPr>
        <w:t>,</w:t>
      </w:r>
      <w:proofErr w:type="gramEnd"/>
      <w:r w:rsidRPr="008750A4">
        <w:rPr>
          <w:rFonts w:ascii="Times New Roman" w:eastAsia="Calibri" w:hAnsi="Times New Roman"/>
          <w:sz w:val="28"/>
          <w:szCs w:val="28"/>
          <w:lang w:eastAsia="ru-RU"/>
        </w:rPr>
        <w:t xml:space="preserve"> значение разницы для всех кислот вых</w:t>
      </w:r>
      <w:r w:rsidRPr="008750A4">
        <w:rPr>
          <w:rFonts w:ascii="Times New Roman" w:eastAsia="Calibri" w:hAnsi="Times New Roman"/>
          <w:sz w:val="28"/>
          <w:szCs w:val="28"/>
          <w:lang w:eastAsia="ru-RU"/>
        </w:rPr>
        <w:t>о</w:t>
      </w:r>
      <w:r w:rsidRPr="008750A4">
        <w:rPr>
          <w:rFonts w:ascii="Times New Roman" w:eastAsia="Calibri" w:hAnsi="Times New Roman"/>
          <w:sz w:val="28"/>
          <w:szCs w:val="28"/>
          <w:lang w:eastAsia="ru-RU"/>
        </w:rPr>
        <w:t>дят за оптимальное значение 2500-4500 см-1, поэтому для всех комплексов низкие квантовые выходы.</w:t>
      </w:r>
    </w:p>
    <w:p w:rsidR="00C31CF6" w:rsidRPr="00C31CF6" w:rsidRDefault="0014217A" w:rsidP="0014217A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86CF1">
        <w:rPr>
          <w:rFonts w:ascii="Times New Roman" w:eastAsia="Calibri" w:hAnsi="Times New Roman"/>
          <w:sz w:val="28"/>
          <w:szCs w:val="28"/>
          <w:lang w:eastAsia="ru-RU"/>
        </w:rPr>
        <w:t>Для соединений тербия эф</w:t>
      </w:r>
      <w:r>
        <w:rPr>
          <w:rFonts w:ascii="Times New Roman" w:eastAsia="Calibri" w:hAnsi="Times New Roman"/>
          <w:sz w:val="28"/>
          <w:szCs w:val="28"/>
          <w:lang w:eastAsia="ru-RU"/>
        </w:rPr>
        <w:t>фективность люминесценции  падает</w:t>
      </w:r>
      <w:bookmarkStart w:id="0" w:name="_GoBack"/>
      <w:bookmarkEnd w:id="0"/>
      <w:r w:rsidRPr="00886CF1">
        <w:rPr>
          <w:rFonts w:ascii="Times New Roman" w:eastAsia="Calibri" w:hAnsi="Times New Roman"/>
          <w:sz w:val="28"/>
          <w:szCs w:val="28"/>
          <w:lang w:eastAsia="ru-RU"/>
        </w:rPr>
        <w:t xml:space="preserve"> в ряду м-</w:t>
      </w:r>
      <w:proofErr w:type="spellStart"/>
      <w:r w:rsidRPr="00886CF1">
        <w:rPr>
          <w:rFonts w:ascii="Times New Roman" w:eastAsia="Calibri" w:hAnsi="Times New Roman"/>
          <w:sz w:val="28"/>
          <w:szCs w:val="28"/>
          <w:lang w:eastAsia="ru-RU"/>
        </w:rPr>
        <w:t>аминобензоная</w:t>
      </w:r>
      <w:proofErr w:type="spellEnd"/>
      <w:r w:rsidRPr="00886CF1">
        <w:rPr>
          <w:rFonts w:ascii="Times New Roman" w:eastAsia="Calibri" w:hAnsi="Times New Roman"/>
          <w:sz w:val="28"/>
          <w:szCs w:val="28"/>
          <w:lang w:eastAsia="ru-RU"/>
        </w:rPr>
        <w:t xml:space="preserve"> - п-</w:t>
      </w:r>
      <w:proofErr w:type="spellStart"/>
      <w:r w:rsidRPr="00886CF1">
        <w:rPr>
          <w:rFonts w:ascii="Times New Roman" w:eastAsia="Calibri" w:hAnsi="Times New Roman"/>
          <w:sz w:val="28"/>
          <w:szCs w:val="28"/>
          <w:lang w:eastAsia="ru-RU"/>
        </w:rPr>
        <w:t>аминобензойная</w:t>
      </w:r>
      <w:proofErr w:type="spellEnd"/>
      <w:r w:rsidRPr="00886CF1">
        <w:rPr>
          <w:rFonts w:ascii="Times New Roman" w:eastAsia="Calibri" w:hAnsi="Times New Roman"/>
          <w:sz w:val="28"/>
          <w:szCs w:val="28"/>
          <w:lang w:eastAsia="ru-RU"/>
        </w:rPr>
        <w:t xml:space="preserve"> и п-</w:t>
      </w:r>
      <w:proofErr w:type="spellStart"/>
      <w:r w:rsidRPr="00886CF1">
        <w:rPr>
          <w:rFonts w:ascii="Times New Roman" w:eastAsia="Calibri" w:hAnsi="Times New Roman"/>
          <w:sz w:val="28"/>
          <w:szCs w:val="28"/>
          <w:lang w:eastAsia="ru-RU"/>
        </w:rPr>
        <w:t>оксибензойные</w:t>
      </w:r>
      <w:proofErr w:type="spellEnd"/>
      <w:r w:rsidRPr="00886CF1">
        <w:rPr>
          <w:rFonts w:ascii="Times New Roman" w:eastAsia="Calibri" w:hAnsi="Times New Roman"/>
          <w:sz w:val="28"/>
          <w:szCs w:val="28"/>
          <w:lang w:eastAsia="ru-RU"/>
        </w:rPr>
        <w:t xml:space="preserve"> кислоты – салициловая – </w:t>
      </w:r>
      <w:proofErr w:type="spellStart"/>
      <w:r w:rsidRPr="00886CF1">
        <w:rPr>
          <w:rFonts w:ascii="Times New Roman" w:eastAsia="Calibri" w:hAnsi="Times New Roman"/>
          <w:sz w:val="28"/>
          <w:szCs w:val="28"/>
          <w:lang w:eastAsia="ru-RU"/>
        </w:rPr>
        <w:t>антраниловая</w:t>
      </w:r>
      <w:proofErr w:type="spellEnd"/>
      <w:r w:rsidRPr="00886CF1">
        <w:rPr>
          <w:rFonts w:ascii="Times New Roman" w:eastAsia="Calibri" w:hAnsi="Times New Roman"/>
          <w:sz w:val="28"/>
          <w:szCs w:val="28"/>
          <w:lang w:eastAsia="ru-RU"/>
        </w:rPr>
        <w:t xml:space="preserve"> – бензойная кислоты.</w:t>
      </w:r>
    </w:p>
    <w:p w:rsidR="00C31CF6" w:rsidRPr="00C31CF6" w:rsidRDefault="00C31CF6" w:rsidP="00C31CF6">
      <w:pPr>
        <w:ind w:firstLine="708"/>
        <w:rPr>
          <w:rFonts w:ascii="Times New Roman" w:hAnsi="Times New Roman"/>
          <w:sz w:val="28"/>
          <w:szCs w:val="28"/>
        </w:rPr>
      </w:pPr>
    </w:p>
    <w:sectPr w:rsidR="00C31CF6" w:rsidRPr="00C31C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3A2"/>
    <w:rsid w:val="0014217A"/>
    <w:rsid w:val="00877239"/>
    <w:rsid w:val="00C31CF6"/>
    <w:rsid w:val="00CC23F5"/>
    <w:rsid w:val="00D56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3A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563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CC23F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3A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563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CC23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omarichevat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2015-07-22T15:03:00Z</dcterms:created>
  <dcterms:modified xsi:type="dcterms:W3CDTF">2015-07-22T15:28:00Z</dcterms:modified>
</cp:coreProperties>
</file>